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A6F" w:rsidP="00F57A6F">
      <w:pPr>
        <w:pStyle w:val="Title"/>
      </w:pPr>
      <w:r>
        <w:fldChar w:fldCharType="begin"/>
      </w:r>
      <w:r>
        <w:instrText xml:space="preserve"> TITLE   \* MERGEFORMAT </w:instrText>
      </w:r>
      <w:r>
        <w:fldChar w:fldCharType="separate"/>
      </w:r>
      <w:r>
        <w:t>Assessment Requirements for HLTRNL001 Support a person with chronic kidney disease</w:t>
      </w:r>
      <w:r>
        <w:fldChar w:fldCharType="end"/>
      </w:r>
    </w:p>
    <w:p w:rsidR="00F57A6F" w:rsidP="00F57A6F">
      <w:pPr>
        <w:pStyle w:val="Version"/>
        <w:sectPr w:rsidSect="00A00A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A0A" w:rsidP="00A00A0A">
      <w:pPr>
        <w:pStyle w:val="SuperHeading"/>
      </w:pPr>
      <w:r w:rsidRPr="00A00A0A">
        <w:t>Assessment Requirements for HLTRNL001 Support a person with chronic kidney disease</w:t>
      </w:r>
    </w:p>
    <w:p w:rsidR="00000000" w:rsidRPr="00A00A0A" w:rsidP="00A00A0A">
      <w:pPr>
        <w:pStyle w:val="Heading1"/>
      </w:pPr>
      <w:bookmarkStart w:id="1" w:name="O_827389"/>
      <w:bookmarkEnd w:id="1"/>
      <w:r w:rsidRPr="00A00A0A">
        <w:t>Modification History</w:t>
      </w:r>
    </w:p>
    <w:tbl>
      <w:tblPr>
        <w:tblW w:w="0" w:type="auto"/>
        <w:tblLayout w:type="fixed"/>
        <w:tblCellMar>
          <w:left w:w="62" w:type="dxa"/>
          <w:right w:w="62" w:type="dxa"/>
        </w:tblCellMar>
        <w:tblLook w:val="0000"/>
      </w:tblPr>
      <w:tblGrid>
        <w:gridCol w:w="2790"/>
        <w:gridCol w:w="6344"/>
      </w:tblGrid>
      <w:tr w:rsidTr="00A00A0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A0A" w:rsidP="00A00A0A">
            <w:pPr>
              <w:pStyle w:val="BodyText"/>
            </w:pPr>
            <w:r w:rsidRPr="00A00A0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A0A">
            <w:pPr>
              <w:pStyle w:val="BodyText"/>
              <w:rPr>
                <w:lang w:val="en-NZ"/>
              </w:rPr>
            </w:pPr>
            <w:r w:rsidRPr="00A00A0A">
              <w:rPr>
                <w:rStyle w:val="SpecialBold"/>
              </w:rPr>
              <w:t>Comments</w:t>
            </w:r>
          </w:p>
        </w:tc>
      </w:tr>
      <w:tr w:rsidTr="00A00A0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A0A">
            <w:pPr>
              <w:pStyle w:val="BodyText"/>
              <w:rPr>
                <w:lang w:val="en-NZ"/>
              </w:rPr>
            </w:pPr>
            <w:r w:rsidRPr="00A00A0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A0A" w:rsidP="00A00A0A">
            <w:pPr>
              <w:pStyle w:val="BodyText"/>
            </w:pPr>
            <w:r w:rsidRPr="00A00A0A">
              <w:t xml:space="preserve">This version was released in </w:t>
            </w:r>
            <w:r w:rsidRPr="00A00A0A">
              <w:rPr>
                <w:rStyle w:val="Emphasis"/>
              </w:rPr>
              <w:t>HLT Health Training Package</w:t>
            </w:r>
            <w:r w:rsidRPr="00A00A0A">
              <w:t xml:space="preserve"> </w:t>
            </w:r>
            <w:r w:rsidRPr="00A00A0A">
              <w:rPr>
                <w:rStyle w:val="Emphasis"/>
              </w:rPr>
              <w:t>release 3.0</w:t>
            </w:r>
            <w:r w:rsidRPr="00A00A0A">
              <w:t xml:space="preserve"> and meets the requirements of the 2012 Standards for Training Packages.</w:t>
            </w:r>
          </w:p>
          <w:p w:rsidR="00000000" w:rsidRPr="00A00A0A" w:rsidP="00A00A0A">
            <w:pPr>
              <w:pStyle w:val="BodyText"/>
            </w:pPr>
            <w:r w:rsidRPr="00A00A0A">
              <w:t>Removed pre-requisites. Significant changes to the elements and performance criteria. New evidence requirements for assessment, including volume and frequency requirements. Minimal ch</w:t>
            </w:r>
            <w:r w:rsidRPr="00A00A0A">
              <w:t>ange to knowledge evidence.</w:t>
            </w:r>
          </w:p>
          <w:p w:rsidR="00000000" w:rsidRPr="00A00A0A" w:rsidP="00A00A0A">
            <w:pPr>
              <w:pStyle w:val="BodyText"/>
            </w:pPr>
            <w:r w:rsidRPr="00A00A0A">
              <w:t>Supersedes HLTRNL601C</w:t>
            </w:r>
          </w:p>
        </w:tc>
      </w:tr>
    </w:tbl>
    <w:p w:rsidR="00000000" w:rsidRPr="00A00A0A" w:rsidP="00A00A0A">
      <w:pPr>
        <w:pStyle w:val="BodyText"/>
      </w:pPr>
    </w:p>
    <w:p w:rsidR="00000000" w:rsidRPr="00A00A0A" w:rsidP="00A00A0A">
      <w:pPr>
        <w:pStyle w:val="AllowPageBreak"/>
      </w:pPr>
    </w:p>
    <w:p w:rsidR="00000000" w:rsidRPr="00A00A0A" w:rsidP="00A00A0A">
      <w:pPr>
        <w:pStyle w:val="Heading1"/>
      </w:pPr>
      <w:bookmarkStart w:id="2" w:name="O_827390"/>
      <w:bookmarkEnd w:id="2"/>
      <w:r w:rsidRPr="00A00A0A">
        <w:t>Performance Evidence</w:t>
      </w:r>
    </w:p>
    <w:p w:rsidR="00000000" w:rsidRPr="00A00A0A" w:rsidP="00F57A6F">
      <w:pPr>
        <w:pStyle w:val="BodyText"/>
      </w:pPr>
      <w:r w:rsidRPr="00A00A0A">
        <w:t>The candidate must show evidence of the ability to complete tasks outlined in elements and performance criteria of this unit, manage tasks and manage contingencies in</w:t>
      </w:r>
      <w:r w:rsidRPr="00A00A0A">
        <w:t xml:space="preserve"> the context of the job role. There must be evidence that the candidate has:</w:t>
      </w:r>
    </w:p>
    <w:p w:rsidR="00000000" w:rsidRPr="00A00A0A" w:rsidP="00A00A0A">
      <w:pPr>
        <w:pStyle w:val="ListBullet"/>
      </w:pPr>
      <w:r w:rsidRPr="00A00A0A">
        <w:t>implemented nursing care plans for 3 people with chronic kidney disease (CKD) in consultation and collaboration with  interdisciplinary team in the workplace</w:t>
      </w:r>
    </w:p>
    <w:p w:rsidR="00000000" w:rsidRPr="00A00A0A" w:rsidP="00A00A0A">
      <w:pPr>
        <w:pStyle w:val="ListBullet"/>
      </w:pPr>
      <w:r w:rsidRPr="00A00A0A">
        <w:t>provided follow-up c</w:t>
      </w:r>
      <w:r w:rsidRPr="00A00A0A">
        <w:t xml:space="preserve">are or 3 people with CKD, evaluating their health status and providing relevant health information to meet individual needs in consultation and collaboration with  interdisciplinary team in the workplace or in a simulated environment. </w:t>
      </w:r>
    </w:p>
    <w:p w:rsidR="00000000" w:rsidRPr="00A00A0A" w:rsidP="00A00A0A">
      <w:pPr>
        <w:pStyle w:val="AllowPageBreak"/>
      </w:pPr>
    </w:p>
    <w:p w:rsidR="00000000" w:rsidRPr="00A00A0A" w:rsidP="00A00A0A">
      <w:pPr>
        <w:pStyle w:val="Heading1"/>
      </w:pPr>
      <w:bookmarkStart w:id="3" w:name="O_827391"/>
      <w:bookmarkEnd w:id="3"/>
      <w:r w:rsidRPr="00A00A0A">
        <w:t>Knowledge Evidence</w:t>
      </w:r>
    </w:p>
    <w:p w:rsidR="00000000" w:rsidRPr="00A00A0A" w:rsidP="00F57A6F">
      <w:pPr>
        <w:pStyle w:val="BodyText"/>
      </w:pPr>
      <w:r w:rsidRPr="00A00A0A">
        <w:t xml:space="preserve">The candidate must be able to demonstrate essential knowledge required to effectively complete tasks outlined in elements and performance criteria of this unit, manage tasks and manage contingencies in the context of the work role. This </w:t>
      </w:r>
      <w:r w:rsidRPr="00A00A0A">
        <w:t xml:space="preserve">includes knowledge of: </w:t>
      </w:r>
    </w:p>
    <w:p w:rsidR="00000000" w:rsidRPr="00A00A0A" w:rsidP="00A00A0A">
      <w:pPr>
        <w:pStyle w:val="ListBullet"/>
      </w:pPr>
      <w:r w:rsidRPr="00A00A0A">
        <w:t>applied anatomy and physiology of the renal system and clinical manifestations and associated pathophysiology of acute kidney injury (AKI) and Stages 1 to 5 of CKD</w:t>
      </w:r>
    </w:p>
    <w:p w:rsidR="00000000" w:rsidRPr="00A00A0A" w:rsidP="00A00A0A">
      <w:pPr>
        <w:pStyle w:val="ListBullet"/>
      </w:pPr>
      <w:r w:rsidRPr="00A00A0A">
        <w:t xml:space="preserve">underlying environmental and social factors contributing to CKD in </w:t>
      </w:r>
      <w:r w:rsidRPr="00A00A0A">
        <w:t>the general population in Australia and to the higher rates experienced within Aboriginal and/or Torres Strait Islander communities</w:t>
      </w:r>
    </w:p>
    <w:p w:rsidR="00000000" w:rsidRPr="00A00A0A" w:rsidP="00A00A0A">
      <w:pPr>
        <w:pStyle w:val="ListBullet"/>
      </w:pPr>
      <w:r w:rsidRPr="00A00A0A">
        <w:t>CKD conditions including risk factors:</w:t>
      </w:r>
    </w:p>
    <w:p w:rsidR="00000000" w:rsidRPr="00A00A0A" w:rsidP="00A00A0A">
      <w:pPr>
        <w:pStyle w:val="ListBullet2"/>
      </w:pPr>
      <w:r w:rsidRPr="00A00A0A">
        <w:t>diabetic nephropathy</w:t>
      </w:r>
    </w:p>
    <w:p w:rsidR="00000000" w:rsidRPr="00A00A0A" w:rsidP="00A00A0A">
      <w:pPr>
        <w:pStyle w:val="ListBullet2"/>
      </w:pPr>
      <w:r w:rsidRPr="00A00A0A">
        <w:t xml:space="preserve">glomerulonephritis </w:t>
      </w:r>
    </w:p>
    <w:p w:rsidR="00000000" w:rsidRPr="00A00A0A" w:rsidP="00A00A0A">
      <w:pPr>
        <w:pStyle w:val="ListBullet2"/>
      </w:pPr>
      <w:r w:rsidRPr="00A00A0A">
        <w:t>hypertensive nephropathy</w:t>
      </w:r>
    </w:p>
    <w:p w:rsidR="00000000" w:rsidRPr="00A00A0A" w:rsidP="00A00A0A">
      <w:pPr>
        <w:pStyle w:val="ListBullet2"/>
      </w:pPr>
      <w:r w:rsidRPr="00A00A0A">
        <w:t xml:space="preserve">polycystic kidney </w:t>
      </w:r>
      <w:r w:rsidRPr="00A00A0A">
        <w:t>disease</w:t>
      </w:r>
    </w:p>
    <w:p w:rsidR="00000000" w:rsidRPr="00A00A0A" w:rsidP="00A00A0A">
      <w:pPr>
        <w:pStyle w:val="ListBullet2"/>
      </w:pPr>
      <w:r w:rsidRPr="00A00A0A">
        <w:t xml:space="preserve">reflux nephropathy </w:t>
      </w:r>
    </w:p>
    <w:p w:rsidR="00000000" w:rsidRPr="00A00A0A" w:rsidP="00A00A0A">
      <w:pPr>
        <w:pStyle w:val="ListBullet2"/>
      </w:pPr>
      <w:r w:rsidRPr="00A00A0A">
        <w:t>kidney stones</w:t>
      </w:r>
    </w:p>
    <w:p w:rsidR="00000000" w:rsidRPr="00A00A0A" w:rsidP="00A00A0A">
      <w:pPr>
        <w:pStyle w:val="ListBullet"/>
      </w:pPr>
      <w:r w:rsidRPr="00A00A0A">
        <w:t>clinical manifestations of CKD including:</w:t>
      </w:r>
    </w:p>
    <w:p w:rsidR="00000000" w:rsidRPr="00A00A0A" w:rsidP="00A00A0A">
      <w:pPr>
        <w:pStyle w:val="ListBullet2"/>
      </w:pPr>
      <w:r w:rsidRPr="00A00A0A">
        <w:t>hypertension</w:t>
      </w:r>
    </w:p>
    <w:p w:rsidR="00000000" w:rsidRPr="00A00A0A" w:rsidP="00A00A0A">
      <w:pPr>
        <w:pStyle w:val="ListBullet2"/>
      </w:pPr>
      <w:r w:rsidRPr="00A00A0A">
        <w:t>anaemia</w:t>
      </w:r>
    </w:p>
    <w:p w:rsidR="00000000" w:rsidRPr="00A00A0A" w:rsidP="00A00A0A">
      <w:pPr>
        <w:pStyle w:val="ListBullet2"/>
      </w:pPr>
      <w:r w:rsidRPr="00A00A0A">
        <w:t>bone disease</w:t>
      </w:r>
    </w:p>
    <w:p w:rsidR="00000000" w:rsidRPr="00A00A0A" w:rsidP="00A00A0A">
      <w:pPr>
        <w:pStyle w:val="ListBullet2"/>
      </w:pPr>
      <w:r w:rsidRPr="00A00A0A">
        <w:t>cardiovascular disease</w:t>
      </w:r>
    </w:p>
    <w:p w:rsidR="00000000" w:rsidRPr="00A00A0A" w:rsidP="00A00A0A">
      <w:pPr>
        <w:pStyle w:val="ListBullet2"/>
      </w:pPr>
      <w:r w:rsidRPr="00A00A0A">
        <w:t>impaired immunity</w:t>
      </w:r>
    </w:p>
    <w:p w:rsidR="00000000" w:rsidRPr="00A00A0A" w:rsidP="00A00A0A">
      <w:pPr>
        <w:pStyle w:val="ListBullet2"/>
      </w:pPr>
      <w:r w:rsidRPr="00A00A0A">
        <w:t>electrolyte imbalance</w:t>
      </w:r>
    </w:p>
    <w:p w:rsidR="00000000" w:rsidRPr="00A00A0A" w:rsidP="00A00A0A">
      <w:pPr>
        <w:pStyle w:val="ListBullet2"/>
      </w:pPr>
      <w:r w:rsidRPr="00A00A0A">
        <w:t>fluid imbalance</w:t>
      </w:r>
    </w:p>
    <w:p w:rsidR="00000000" w:rsidRPr="00A00A0A" w:rsidP="00A00A0A">
      <w:pPr>
        <w:pStyle w:val="ListBullet"/>
      </w:pPr>
      <w:r w:rsidRPr="00A00A0A">
        <w:t>complications and impact of CKD including:</w:t>
      </w:r>
    </w:p>
    <w:p w:rsidR="00000000" w:rsidRPr="00A00A0A" w:rsidP="00A00A0A">
      <w:pPr>
        <w:pStyle w:val="ListBullet2"/>
      </w:pPr>
      <w:r w:rsidRPr="00A00A0A">
        <w:t>uraem</w:t>
      </w:r>
      <w:r w:rsidRPr="00A00A0A">
        <w:t>ic breath</w:t>
      </w:r>
    </w:p>
    <w:p w:rsidR="00000000" w:rsidRPr="00A00A0A" w:rsidP="00A00A0A">
      <w:pPr>
        <w:pStyle w:val="ListBullet2"/>
      </w:pPr>
      <w:r w:rsidRPr="00A00A0A">
        <w:t>unusual or metallic taste</w:t>
      </w:r>
    </w:p>
    <w:p w:rsidR="00000000" w:rsidRPr="00A00A0A" w:rsidP="00A00A0A">
      <w:pPr>
        <w:pStyle w:val="ListBullet2"/>
      </w:pPr>
      <w:r w:rsidRPr="00A00A0A">
        <w:t>anorexia</w:t>
      </w:r>
    </w:p>
    <w:p w:rsidR="00000000" w:rsidRPr="00A00A0A" w:rsidP="00A00A0A">
      <w:pPr>
        <w:pStyle w:val="ListBullet2"/>
      </w:pPr>
      <w:r w:rsidRPr="00A00A0A">
        <w:t>nausea and vomiting</w:t>
      </w:r>
    </w:p>
    <w:p w:rsidR="00000000" w:rsidRPr="00A00A0A" w:rsidP="00A00A0A">
      <w:pPr>
        <w:pStyle w:val="ListBullet2"/>
      </w:pPr>
      <w:r w:rsidRPr="00A00A0A">
        <w:t>lethargy</w:t>
      </w:r>
    </w:p>
    <w:p w:rsidR="00000000" w:rsidRPr="00A00A0A" w:rsidP="00A00A0A">
      <w:pPr>
        <w:pStyle w:val="ListBullet2"/>
      </w:pPr>
      <w:r w:rsidRPr="00A00A0A">
        <w:t xml:space="preserve">change in urination </w:t>
      </w:r>
    </w:p>
    <w:p w:rsidR="00000000" w:rsidRPr="00A00A0A" w:rsidP="00A00A0A">
      <w:pPr>
        <w:pStyle w:val="ListBullet2"/>
      </w:pPr>
      <w:r w:rsidRPr="00A00A0A">
        <w:t>confusion</w:t>
      </w:r>
    </w:p>
    <w:p w:rsidR="00000000" w:rsidRPr="00A00A0A" w:rsidP="00A00A0A">
      <w:pPr>
        <w:pStyle w:val="ListBullet2"/>
      </w:pPr>
      <w:r w:rsidRPr="00A00A0A">
        <w:t>pain</w:t>
      </w:r>
    </w:p>
    <w:p w:rsidR="00000000" w:rsidRPr="00A00A0A" w:rsidP="00A00A0A">
      <w:pPr>
        <w:pStyle w:val="ListBullet2"/>
      </w:pPr>
      <w:r w:rsidRPr="00A00A0A">
        <w:t>increase in depression</w:t>
      </w:r>
    </w:p>
    <w:p w:rsidR="00000000" w:rsidRPr="00A00A0A" w:rsidP="00A00A0A">
      <w:pPr>
        <w:pStyle w:val="ListBullet2"/>
      </w:pPr>
      <w:r w:rsidRPr="00A00A0A">
        <w:t>stages in grief and loss</w:t>
      </w:r>
    </w:p>
    <w:p w:rsidR="00000000" w:rsidRPr="00A00A0A" w:rsidP="00A00A0A">
      <w:pPr>
        <w:pStyle w:val="ListBullet2"/>
      </w:pPr>
      <w:r w:rsidRPr="00A00A0A">
        <w:t>sexual dysfunction</w:t>
      </w:r>
    </w:p>
    <w:p w:rsidR="00000000" w:rsidRPr="00A00A0A" w:rsidP="00A00A0A">
      <w:pPr>
        <w:pStyle w:val="ListBullet2"/>
      </w:pPr>
      <w:r w:rsidRPr="00A00A0A">
        <w:t>general malaise</w:t>
      </w:r>
    </w:p>
    <w:p w:rsidR="00000000" w:rsidRPr="00A00A0A" w:rsidP="00A00A0A">
      <w:pPr>
        <w:pStyle w:val="ListBullet2"/>
      </w:pPr>
      <w:r w:rsidRPr="00A00A0A">
        <w:t>cardiovascular events</w:t>
      </w:r>
    </w:p>
    <w:p w:rsidR="00000000" w:rsidRPr="00A00A0A" w:rsidP="00A00A0A">
      <w:pPr>
        <w:pStyle w:val="ListBullet2"/>
      </w:pPr>
      <w:r w:rsidRPr="00A00A0A">
        <w:t>infections</w:t>
      </w:r>
    </w:p>
    <w:p w:rsidR="00000000" w:rsidRPr="00A00A0A" w:rsidP="00A00A0A">
      <w:pPr>
        <w:pStyle w:val="ListBullet2"/>
      </w:pPr>
      <w:r w:rsidRPr="00A00A0A">
        <w:t>uraemic frost</w:t>
      </w:r>
    </w:p>
    <w:p w:rsidR="00000000" w:rsidRPr="00A00A0A" w:rsidP="00A00A0A">
      <w:pPr>
        <w:pStyle w:val="ListBullet2"/>
      </w:pPr>
      <w:r w:rsidRPr="00A00A0A">
        <w:t>pruritus</w:t>
      </w:r>
    </w:p>
    <w:p w:rsidR="00000000" w:rsidRPr="00A00A0A" w:rsidP="00A00A0A">
      <w:pPr>
        <w:pStyle w:val="ListBullet2"/>
      </w:pPr>
      <w:r w:rsidRPr="00A00A0A">
        <w:t>restless leg syndrome</w:t>
      </w:r>
    </w:p>
    <w:p w:rsidR="00000000" w:rsidRPr="00A00A0A" w:rsidP="00A00A0A">
      <w:pPr>
        <w:pStyle w:val="ListBullet"/>
      </w:pPr>
      <w:r w:rsidRPr="00A00A0A">
        <w:t>screening and prevention of CKD</w:t>
      </w:r>
    </w:p>
    <w:p w:rsidR="00000000" w:rsidRPr="00A00A0A" w:rsidP="00A00A0A">
      <w:pPr>
        <w:pStyle w:val="ListBullet"/>
      </w:pPr>
      <w:r w:rsidRPr="00A00A0A">
        <w:t>immunity and the importance of vaccinations</w:t>
      </w:r>
    </w:p>
    <w:p w:rsidR="00000000" w:rsidRPr="00A00A0A" w:rsidP="00A00A0A">
      <w:pPr>
        <w:pStyle w:val="ListBullet"/>
      </w:pPr>
      <w:r w:rsidRPr="00A00A0A">
        <w:t>changing educational needs of the person as CKD progresses</w:t>
      </w:r>
    </w:p>
    <w:p w:rsidR="00000000" w:rsidRPr="00A00A0A" w:rsidP="00A00A0A">
      <w:pPr>
        <w:pStyle w:val="ListBullet"/>
      </w:pPr>
      <w:r w:rsidRPr="00A00A0A">
        <w:t>assessment of renal function and diagnostic procedures including:</w:t>
      </w:r>
    </w:p>
    <w:p w:rsidR="00000000" w:rsidRPr="00A00A0A" w:rsidP="00A00A0A">
      <w:pPr>
        <w:pStyle w:val="ListBullet2"/>
      </w:pPr>
      <w:r w:rsidRPr="00A00A0A">
        <w:t>common pathology tests to diagn</w:t>
      </w:r>
      <w:r w:rsidRPr="00A00A0A">
        <w:t>ose and monitor CKD and their interpretation</w:t>
      </w:r>
    </w:p>
    <w:p w:rsidR="00000000" w:rsidRPr="00A00A0A" w:rsidP="00A00A0A">
      <w:pPr>
        <w:pStyle w:val="ListBullet2"/>
      </w:pPr>
      <w:r w:rsidRPr="00A00A0A">
        <w:t>interventional and investigational procedures used in the diagnosis and the management of CKD</w:t>
      </w:r>
    </w:p>
    <w:p w:rsidR="00000000" w:rsidRPr="00A00A0A" w:rsidP="00A00A0A">
      <w:pPr>
        <w:pStyle w:val="ListBullet"/>
      </w:pPr>
      <w:r w:rsidRPr="00A00A0A">
        <w:t>management of CKD including:</w:t>
      </w:r>
    </w:p>
    <w:p w:rsidR="00000000" w:rsidRPr="00A00A0A" w:rsidP="00A00A0A">
      <w:pPr>
        <w:pStyle w:val="ListBullet2"/>
      </w:pPr>
      <w:r w:rsidRPr="00A00A0A">
        <w:t xml:space="preserve">factors that can slow the progression and changes across the continuum of CKD </w:t>
      </w:r>
    </w:p>
    <w:p w:rsidR="00000000" w:rsidRPr="00A00A0A" w:rsidP="00A00A0A">
      <w:pPr>
        <w:pStyle w:val="ListBullet2"/>
      </w:pPr>
      <w:r w:rsidRPr="00A00A0A">
        <w:t>management principles for various clinical manifestations of CKD and associated co-morbidities</w:t>
      </w:r>
    </w:p>
    <w:p w:rsidR="00000000" w:rsidRPr="00A00A0A" w:rsidP="00A00A0A">
      <w:pPr>
        <w:pStyle w:val="ListBullet2"/>
      </w:pPr>
      <w:r w:rsidRPr="00A00A0A">
        <w:t>meaning and interpretation of health check results for a person with CKD</w:t>
      </w:r>
    </w:p>
    <w:p w:rsidR="00000000" w:rsidRPr="00A00A0A" w:rsidP="00A00A0A">
      <w:pPr>
        <w:pStyle w:val="ListBullet2"/>
      </w:pPr>
      <w:r w:rsidRPr="00A00A0A">
        <w:t>medicines in common use in health management of a person with CKD including basic mechan</w:t>
      </w:r>
      <w:r w:rsidRPr="00A00A0A">
        <w:t xml:space="preserve">ism of action, precautions, contraindications and side effects </w:t>
      </w:r>
    </w:p>
    <w:p w:rsidR="00000000" w:rsidRPr="00A00A0A" w:rsidP="00A00A0A">
      <w:pPr>
        <w:pStyle w:val="ListBullet2"/>
      </w:pPr>
      <w:r w:rsidRPr="00A00A0A">
        <w:t>nutritional considerations for a person with CKD</w:t>
      </w:r>
    </w:p>
    <w:p w:rsidR="00000000" w:rsidRPr="00A00A0A" w:rsidP="00A00A0A">
      <w:pPr>
        <w:pStyle w:val="ListBullet"/>
      </w:pPr>
      <w:r w:rsidRPr="00A00A0A">
        <w:t xml:space="preserve">treatment options (including theory, terminology, procedures, risks and benefits) for a person with CKD including renal replacement therapies </w:t>
      </w:r>
      <w:r w:rsidRPr="00A00A0A">
        <w:t xml:space="preserve">such as peritoneal dialysis (PD) and haemodialysis (HD) </w:t>
      </w:r>
    </w:p>
    <w:p w:rsidR="00000000" w:rsidRPr="00A00A0A" w:rsidP="00A00A0A">
      <w:pPr>
        <w:pStyle w:val="ListBullet"/>
      </w:pPr>
      <w:r w:rsidRPr="00A00A0A">
        <w:t>psychosocial impacts</w:t>
      </w:r>
    </w:p>
    <w:p w:rsidR="00000000" w:rsidRPr="00A00A0A" w:rsidP="00A00A0A">
      <w:pPr>
        <w:pStyle w:val="ListBullet"/>
      </w:pPr>
      <w:r w:rsidRPr="00A00A0A">
        <w:t>social needs:</w:t>
      </w:r>
    </w:p>
    <w:p w:rsidR="00000000" w:rsidRPr="00A00A0A" w:rsidP="00A00A0A">
      <w:pPr>
        <w:pStyle w:val="ListBullet2"/>
      </w:pPr>
      <w:r w:rsidRPr="00A00A0A">
        <w:t>disability support</w:t>
      </w:r>
    </w:p>
    <w:p w:rsidR="00000000" w:rsidRPr="00A00A0A" w:rsidP="00A00A0A">
      <w:pPr>
        <w:pStyle w:val="ListBullet2"/>
      </w:pPr>
      <w:r w:rsidRPr="00A00A0A">
        <w:t>family support</w:t>
      </w:r>
    </w:p>
    <w:p w:rsidR="00000000" w:rsidRPr="00A00A0A" w:rsidP="00A00A0A">
      <w:pPr>
        <w:pStyle w:val="ListBullet2"/>
      </w:pPr>
      <w:r w:rsidRPr="00A00A0A">
        <w:t>transport to appointments</w:t>
      </w:r>
    </w:p>
    <w:p w:rsidR="00000000" w:rsidRPr="00A00A0A" w:rsidP="00A00A0A">
      <w:pPr>
        <w:pStyle w:val="ListBullet2"/>
      </w:pPr>
      <w:r w:rsidRPr="00A00A0A">
        <w:t>accommodation</w:t>
      </w:r>
    </w:p>
    <w:p w:rsidR="00000000" w:rsidRPr="00A00A0A" w:rsidP="00A00A0A">
      <w:pPr>
        <w:pStyle w:val="ListBullet"/>
      </w:pPr>
      <w:r w:rsidRPr="00A00A0A">
        <w:t>relevant organisations associated with palliative care and advance care planning</w:t>
      </w:r>
    </w:p>
    <w:p w:rsidR="00000000" w:rsidRPr="00A00A0A" w:rsidP="00A00A0A">
      <w:pPr>
        <w:pStyle w:val="ListBullet"/>
      </w:pPr>
      <w:r w:rsidRPr="00A00A0A">
        <w:t>self-ma</w:t>
      </w:r>
      <w:r w:rsidRPr="00A00A0A">
        <w:t>nagement strategies for a person with CKD, including knowledge the person requires and ways to foster a lifelong commitment to:</w:t>
      </w:r>
    </w:p>
    <w:p w:rsidR="00000000" w:rsidRPr="00A00A0A" w:rsidP="00A00A0A">
      <w:pPr>
        <w:pStyle w:val="ListBullet2"/>
      </w:pPr>
      <w:r w:rsidRPr="00A00A0A">
        <w:t>healthy life style</w:t>
      </w:r>
    </w:p>
    <w:p w:rsidR="00000000" w:rsidRPr="00A00A0A" w:rsidP="00A00A0A">
      <w:pPr>
        <w:pStyle w:val="ListBullet2"/>
      </w:pPr>
      <w:r w:rsidRPr="00A00A0A">
        <w:t>exercise</w:t>
      </w:r>
    </w:p>
    <w:p w:rsidR="00000000" w:rsidRPr="00A00A0A" w:rsidP="00A00A0A">
      <w:pPr>
        <w:pStyle w:val="ListBullet2"/>
      </w:pPr>
      <w:r w:rsidRPr="00A00A0A">
        <w:t>renal diet</w:t>
      </w:r>
    </w:p>
    <w:p w:rsidR="00000000" w:rsidRPr="00A00A0A" w:rsidP="00A00A0A">
      <w:pPr>
        <w:pStyle w:val="ListBullet2"/>
      </w:pPr>
      <w:r w:rsidRPr="00A00A0A">
        <w:t>fluid requirements</w:t>
      </w:r>
    </w:p>
    <w:p w:rsidR="00000000" w:rsidRPr="00A00A0A" w:rsidP="00A00A0A">
      <w:pPr>
        <w:pStyle w:val="ListBullet2"/>
      </w:pPr>
      <w:r w:rsidRPr="00A00A0A">
        <w:t xml:space="preserve">medication regime </w:t>
      </w:r>
    </w:p>
    <w:p w:rsidR="00000000" w:rsidRPr="00A00A0A" w:rsidP="00A00A0A">
      <w:pPr>
        <w:pStyle w:val="ListBullet2"/>
      </w:pPr>
      <w:r w:rsidRPr="00A00A0A">
        <w:t>care of dialysis access</w:t>
      </w:r>
    </w:p>
    <w:p w:rsidR="00000000" w:rsidRPr="00A00A0A" w:rsidP="00A00A0A">
      <w:pPr>
        <w:pStyle w:val="ListBullet2"/>
      </w:pPr>
      <w:r w:rsidRPr="00A00A0A">
        <w:t>recognising progressive symptoms of CKD</w:t>
      </w:r>
    </w:p>
    <w:p w:rsidR="00000000" w:rsidRPr="00A00A0A" w:rsidP="00A00A0A">
      <w:pPr>
        <w:pStyle w:val="ListBullet2"/>
      </w:pPr>
      <w:r w:rsidRPr="00A00A0A">
        <w:t>vaccination regime</w:t>
      </w:r>
    </w:p>
    <w:p w:rsidR="00000000" w:rsidRPr="00A00A0A" w:rsidP="00A00A0A">
      <w:pPr>
        <w:pStyle w:val="ListBullet2"/>
      </w:pPr>
      <w:r w:rsidRPr="00A00A0A">
        <w:t>diabetes care</w:t>
      </w:r>
    </w:p>
    <w:p w:rsidR="00000000" w:rsidRPr="00A00A0A" w:rsidP="00A00A0A">
      <w:pPr>
        <w:pStyle w:val="ListBullet2"/>
      </w:pPr>
      <w:r w:rsidRPr="00A00A0A">
        <w:t>cardiovascular disease care</w:t>
      </w:r>
    </w:p>
    <w:p w:rsidR="00000000" w:rsidRPr="00A00A0A" w:rsidP="00A00A0A">
      <w:pPr>
        <w:pStyle w:val="ListBullet2"/>
      </w:pPr>
      <w:r w:rsidRPr="00A00A0A">
        <w:t>dental care</w:t>
      </w:r>
    </w:p>
    <w:p w:rsidR="00000000" w:rsidRPr="00A00A0A" w:rsidP="00A00A0A">
      <w:pPr>
        <w:pStyle w:val="ListBullet2"/>
      </w:pPr>
      <w:r w:rsidRPr="00A00A0A">
        <w:t>optometry and ophthalmic care</w:t>
      </w:r>
    </w:p>
    <w:p w:rsidR="00000000" w:rsidRPr="00A00A0A" w:rsidP="00A00A0A">
      <w:pPr>
        <w:pStyle w:val="ListBullet2"/>
      </w:pPr>
      <w:r w:rsidRPr="00A00A0A">
        <w:t>skin care.</w:t>
      </w:r>
    </w:p>
    <w:p w:rsidR="00000000" w:rsidRPr="00A00A0A" w:rsidP="00A00A0A">
      <w:pPr>
        <w:pStyle w:val="AllowPageBreak"/>
      </w:pPr>
    </w:p>
    <w:p w:rsidR="00000000" w:rsidRPr="00A00A0A" w:rsidP="00A00A0A">
      <w:pPr>
        <w:pStyle w:val="Heading1"/>
      </w:pPr>
      <w:bookmarkStart w:id="4" w:name="O_827392"/>
      <w:bookmarkEnd w:id="4"/>
      <w:r w:rsidRPr="00A00A0A">
        <w:t>Assessment Conditions</w:t>
      </w:r>
    </w:p>
    <w:p w:rsidR="00000000" w:rsidRPr="00A00A0A" w:rsidP="00F57A6F">
      <w:pPr>
        <w:pStyle w:val="BodyText"/>
      </w:pPr>
      <w:r w:rsidRPr="00A00A0A">
        <w:t>Skills must have been demonstrated in the workplace or in a simulated environment that reflects workplace conditions. Where simulation is used, it must reflect real working conditions by modelling industry operating conditions and contingencies, as well as</w:t>
      </w:r>
      <w:r w:rsidRPr="00A00A0A">
        <w:t xml:space="preserve">, using suitable facilities, equipment and resources. </w:t>
      </w:r>
    </w:p>
    <w:p w:rsidR="00000000" w:rsidRPr="00A00A0A" w:rsidP="00F57A6F">
      <w:pPr>
        <w:pStyle w:val="BodyText"/>
      </w:pPr>
      <w:r w:rsidRPr="00A00A0A">
        <w:t xml:space="preserve">Assessors must satisfy the Standards for Registered Training Organisations (RTOs) 2015/AQTF mandatory competency requirements for assessors. </w:t>
      </w:r>
    </w:p>
    <w:p w:rsidR="00000000" w:rsidRPr="00A00A0A" w:rsidP="00F57A6F">
      <w:pPr>
        <w:pStyle w:val="BodyText"/>
      </w:pPr>
      <w:r w:rsidRPr="00A00A0A">
        <w:t>In addition, assessors must hold current registration as</w:t>
      </w:r>
      <w:r w:rsidRPr="00A00A0A">
        <w:t xml:space="preserve"> a registered nurse with Nursing and Midwifery Board of Australia.</w:t>
      </w:r>
    </w:p>
    <w:p w:rsidR="00000000" w:rsidRPr="00A00A0A" w:rsidP="00A00A0A">
      <w:pPr>
        <w:pStyle w:val="Heading1"/>
      </w:pPr>
      <w:bookmarkStart w:id="5" w:name="O_827395"/>
      <w:bookmarkEnd w:id="5"/>
      <w:r w:rsidRPr="00A00A0A">
        <w:t>Links</w:t>
      </w:r>
    </w:p>
    <w:p w:rsidR="00000000" w:rsidRPr="00A00A0A" w:rsidP="00F57A6F">
      <w:pPr>
        <w:pStyle w:val="BodyText"/>
      </w:pPr>
      <w:r w:rsidRPr="00A00A0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437AE">
        <w:rPr>
          <w:rStyle w:val="Hyperlink"/>
        </w:rPr>
        <w:t>https://vetnet.gov.au/Pages/TrainingDocs.aspx?q=ced1390f-48d9-4ab0-bd50-b015e5485705</w:t>
      </w:r>
      <w:r>
        <w:fldChar w:fldCharType="end"/>
      </w:r>
    </w:p>
    <w:p w:rsidR="00000000" w:rsidRPr="00A00A0A" w:rsidP="00A00A0A"/>
    <w:sectPr w:rsidSect="00A00A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0A" w:rsidRPr="00F57A6F" w:rsidP="00F57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6F" w:rsidP="00A00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7A6F" w:rsidP="00A00A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57A6F" w:rsidP="00A00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A0A" w:rsidRPr="00F57A6F" w:rsidP="00F57A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6F" w:rsidRPr="002D2AF8" w:rsidP="00A00A0A">
    <w:pPr>
      <w:pStyle w:val="Header"/>
      <w:framePr w:wrap="around"/>
    </w:pPr>
    <w:r>
      <w:fldChar w:fldCharType="begin"/>
    </w:r>
    <w:r>
      <w:instrText xml:space="preserve"> TITLE   \* MERGEFORMAT </w:instrText>
    </w:r>
    <w:r>
      <w:fldChar w:fldCharType="separate"/>
    </w:r>
    <w:r>
      <w:t>Assessment Requirements for HLTRNL001 Support a person with chronic kidney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F57A6F" w:rsidP="00A00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021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06B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1E2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A0A"/>
    <w:pPr>
      <w:spacing w:before="360" w:after="60"/>
      <w:outlineLvl w:val="0"/>
    </w:pPr>
    <w:rPr>
      <w:sz w:val="32"/>
    </w:rPr>
  </w:style>
  <w:style w:type="paragraph" w:styleId="Heading2">
    <w:name w:val="heading 2"/>
    <w:basedOn w:val="HeadingBase"/>
    <w:next w:val="BodyText"/>
    <w:link w:val="Heading2Char"/>
    <w:qFormat/>
    <w:rsid w:val="00A00A0A"/>
    <w:pPr>
      <w:keepLines/>
      <w:spacing w:before="240" w:after="120"/>
      <w:outlineLvl w:val="1"/>
    </w:pPr>
    <w:rPr>
      <w:sz w:val="28"/>
      <w:szCs w:val="40"/>
    </w:rPr>
  </w:style>
  <w:style w:type="paragraph" w:styleId="Heading3">
    <w:name w:val="heading 3"/>
    <w:basedOn w:val="HeadingBase"/>
    <w:next w:val="BodyText"/>
    <w:link w:val="Heading3Char"/>
    <w:qFormat/>
    <w:rsid w:val="00A00A0A"/>
    <w:pPr>
      <w:spacing w:before="180" w:after="120"/>
      <w:outlineLvl w:val="2"/>
    </w:pPr>
    <w:rPr>
      <w:spacing w:val="-10"/>
      <w:kern w:val="32"/>
    </w:rPr>
  </w:style>
  <w:style w:type="paragraph" w:styleId="Heading4">
    <w:name w:val="heading 4"/>
    <w:basedOn w:val="HeadingBase"/>
    <w:next w:val="BodyText"/>
    <w:link w:val="Heading4Char"/>
    <w:qFormat/>
    <w:rsid w:val="00A00A0A"/>
    <w:pPr>
      <w:spacing w:before="160" w:after="120"/>
      <w:outlineLvl w:val="3"/>
    </w:pPr>
    <w:rPr>
      <w:sz w:val="22"/>
    </w:rPr>
  </w:style>
  <w:style w:type="paragraph" w:styleId="Heading5">
    <w:name w:val="heading 5"/>
    <w:basedOn w:val="HeadingBase"/>
    <w:next w:val="Normal"/>
    <w:link w:val="Heading5Char"/>
    <w:qFormat/>
    <w:rsid w:val="00A00A0A"/>
    <w:pPr>
      <w:spacing w:before="80"/>
      <w:outlineLvl w:val="4"/>
    </w:pPr>
    <w:rPr>
      <w:color w:val="918585"/>
      <w:sz w:val="20"/>
    </w:rPr>
  </w:style>
  <w:style w:type="paragraph" w:styleId="Heading6">
    <w:name w:val="heading 6"/>
    <w:basedOn w:val="HeadingBase"/>
    <w:next w:val="Normal"/>
    <w:link w:val="Heading6Char"/>
    <w:qFormat/>
    <w:rsid w:val="00A00A0A"/>
    <w:pPr>
      <w:spacing w:before="60"/>
      <w:outlineLvl w:val="5"/>
    </w:pPr>
    <w:rPr>
      <w:color w:val="918585"/>
      <w:sz w:val="20"/>
    </w:rPr>
  </w:style>
  <w:style w:type="paragraph" w:styleId="Heading7">
    <w:name w:val="heading 7"/>
    <w:basedOn w:val="Normal"/>
    <w:next w:val="Normal"/>
    <w:link w:val="Heading7Char"/>
    <w:qFormat/>
    <w:rsid w:val="00A00A0A"/>
    <w:pPr>
      <w:ind w:left="720"/>
      <w:outlineLvl w:val="6"/>
    </w:pPr>
    <w:rPr>
      <w:i/>
    </w:rPr>
  </w:style>
  <w:style w:type="paragraph" w:styleId="Heading8">
    <w:name w:val="heading 8"/>
    <w:basedOn w:val="Normal"/>
    <w:next w:val="Normal"/>
    <w:link w:val="Heading8Char"/>
    <w:qFormat/>
    <w:rsid w:val="00A00A0A"/>
    <w:pPr>
      <w:ind w:left="720"/>
      <w:outlineLvl w:val="7"/>
    </w:pPr>
    <w:rPr>
      <w:i/>
    </w:rPr>
  </w:style>
  <w:style w:type="paragraph" w:styleId="Heading9">
    <w:name w:val="heading 9"/>
    <w:basedOn w:val="Normal"/>
    <w:next w:val="Normal"/>
    <w:link w:val="Heading9Char"/>
    <w:qFormat/>
    <w:rsid w:val="00A00A0A"/>
    <w:pPr>
      <w:ind w:left="720"/>
      <w:outlineLvl w:val="8"/>
    </w:pPr>
    <w:rPr>
      <w:i/>
    </w:rPr>
  </w:style>
  <w:style w:type="character" w:default="1" w:styleId="DefaultParagraphFont">
    <w:name w:val="Default Paragraph Font"/>
    <w:uiPriority w:val="1"/>
    <w:unhideWhenUsed/>
    <w:rsid w:val="00A00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A0A"/>
  </w:style>
  <w:style w:type="character" w:customStyle="1" w:styleId="Heading1Char">
    <w:name w:val="Heading 1 Char"/>
    <w:basedOn w:val="DefaultParagraphFont"/>
    <w:link w:val="Heading1"/>
    <w:rsid w:val="00A00A0A"/>
    <w:rPr>
      <w:rFonts w:ascii="Times New Roman" w:eastAsia="Times New Roman" w:hAnsi="Times New Roman" w:cs="Times New Roman"/>
      <w:b/>
      <w:sz w:val="32"/>
      <w:szCs w:val="20"/>
      <w:lang w:eastAsia="en-US"/>
    </w:rPr>
  </w:style>
  <w:style w:type="paragraph" w:styleId="BodyText">
    <w:name w:val="Body Text"/>
    <w:basedOn w:val="Normal"/>
    <w:link w:val="BodyTextChar"/>
    <w:rsid w:val="00A00A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A0A"/>
    <w:rPr>
      <w:rFonts w:ascii="Times New Roman" w:eastAsia="Times New Roman" w:hAnsi="Times New Roman" w:cs="Times New Roman"/>
      <w:sz w:val="24"/>
      <w:lang w:eastAsia="en-US"/>
    </w:rPr>
  </w:style>
  <w:style w:type="paragraph" w:styleId="ListBullet">
    <w:name w:val="List Bullet"/>
    <w:basedOn w:val="List"/>
    <w:rsid w:val="00A00A0A"/>
    <w:pPr>
      <w:numPr>
        <w:numId w:val="12"/>
      </w:numPr>
      <w:tabs>
        <w:tab w:val="clear" w:pos="340"/>
      </w:tabs>
      <w:spacing w:before="40" w:after="40"/>
    </w:pPr>
  </w:style>
  <w:style w:type="character" w:customStyle="1" w:styleId="SpecialBold">
    <w:name w:val="Special Bold"/>
    <w:basedOn w:val="DefaultParagraphFont"/>
    <w:rsid w:val="00A00A0A"/>
    <w:rPr>
      <w:b/>
      <w:spacing w:val="0"/>
    </w:rPr>
  </w:style>
  <w:style w:type="paragraph" w:styleId="ListBullet2">
    <w:name w:val="List Bullet 2"/>
    <w:basedOn w:val="List2"/>
    <w:rsid w:val="00A00A0A"/>
    <w:pPr>
      <w:numPr>
        <w:numId w:val="13"/>
      </w:numPr>
      <w:tabs>
        <w:tab w:val="clear" w:pos="680"/>
      </w:tabs>
    </w:pPr>
  </w:style>
  <w:style w:type="character" w:styleId="Emphasis">
    <w:name w:val="Emphasis"/>
    <w:basedOn w:val="DefaultParagraphFont"/>
    <w:qFormat/>
    <w:rsid w:val="00A00A0A"/>
    <w:rPr>
      <w:i/>
    </w:rPr>
  </w:style>
  <w:style w:type="paragraph" w:customStyle="1" w:styleId="SuperHeading">
    <w:name w:val="SuperHeading"/>
    <w:basedOn w:val="Normal"/>
    <w:rsid w:val="00A00A0A"/>
    <w:pPr>
      <w:spacing w:before="240" w:after="120"/>
      <w:outlineLvl w:val="0"/>
    </w:pPr>
    <w:rPr>
      <w:rFonts w:ascii="Times New Roman" w:hAnsi="Times New Roman"/>
      <w:b/>
      <w:sz w:val="32"/>
    </w:rPr>
  </w:style>
  <w:style w:type="paragraph" w:customStyle="1" w:styleId="AllowPageBreak">
    <w:name w:val="AllowPageBreak"/>
    <w:rsid w:val="00A00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A0A"/>
    <w:rPr>
      <w:rFonts w:ascii="Courier New" w:eastAsia="Times New Roman" w:hAnsi="Courier New" w:cs="Times New Roman"/>
      <w:i/>
      <w:szCs w:val="20"/>
      <w:lang w:eastAsia="en-US"/>
    </w:rPr>
  </w:style>
  <w:style w:type="paragraph" w:customStyle="1" w:styleId="HeadingBase">
    <w:name w:val="Heading Base"/>
    <w:rsid w:val="00A00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A0A"/>
    <w:pPr>
      <w:tabs>
        <w:tab w:val="right" w:leader="dot" w:pos="9072"/>
      </w:tabs>
      <w:ind w:left="567"/>
    </w:pPr>
    <w:rPr>
      <w:szCs w:val="22"/>
    </w:rPr>
  </w:style>
  <w:style w:type="paragraph" w:customStyle="1" w:styleId="TOCBase">
    <w:name w:val="TOC Base"/>
    <w:rsid w:val="00A00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A0A"/>
    <w:pPr>
      <w:tabs>
        <w:tab w:val="right" w:leader="dot" w:pos="9072"/>
      </w:tabs>
      <w:spacing w:before="40" w:after="40"/>
      <w:ind w:left="284"/>
    </w:pPr>
    <w:rPr>
      <w:rFonts w:ascii="Times New Roman" w:hAnsi="Times New Roman"/>
    </w:rPr>
  </w:style>
  <w:style w:type="paragraph" w:styleId="TOC1">
    <w:name w:val="toc 1"/>
    <w:basedOn w:val="TOCBase"/>
    <w:next w:val="Normal"/>
    <w:rsid w:val="00A00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A0A"/>
    <w:rPr>
      <w:rFonts w:ascii="Times New Roman" w:eastAsia="Times New Roman" w:hAnsi="Times New Roman" w:cs="Times New Roman"/>
      <w:sz w:val="16"/>
      <w:lang w:eastAsia="en-US"/>
    </w:rPr>
  </w:style>
  <w:style w:type="paragraph" w:styleId="Title">
    <w:name w:val="Title"/>
    <w:basedOn w:val="HeadingBase"/>
    <w:link w:val="TitleChar"/>
    <w:qFormat/>
    <w:rsid w:val="00A00A0A"/>
    <w:pPr>
      <w:spacing w:before="5040"/>
      <w:jc w:val="center"/>
    </w:pPr>
    <w:rPr>
      <w:sz w:val="48"/>
      <w:szCs w:val="72"/>
      <w:lang w:val="en-US"/>
    </w:rPr>
  </w:style>
  <w:style w:type="character" w:customStyle="1" w:styleId="TitleChar">
    <w:name w:val="Title Char"/>
    <w:basedOn w:val="DefaultParagraphFont"/>
    <w:link w:val="Title"/>
    <w:rsid w:val="00A00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A0A"/>
    <w:pPr>
      <w:tabs>
        <w:tab w:val="left" w:pos="3600"/>
        <w:tab w:val="left" w:pos="3958"/>
      </w:tabs>
    </w:pPr>
  </w:style>
  <w:style w:type="paragraph" w:styleId="List">
    <w:name w:val="List"/>
    <w:basedOn w:val="BodyText"/>
    <w:next w:val="BodyText"/>
    <w:rsid w:val="00A00A0A"/>
    <w:pPr>
      <w:tabs>
        <w:tab w:val="left" w:pos="340"/>
      </w:tabs>
      <w:spacing w:before="60" w:after="60"/>
      <w:ind w:left="340" w:hanging="340"/>
    </w:pPr>
  </w:style>
  <w:style w:type="paragraph" w:customStyle="1" w:styleId="Note">
    <w:name w:val="Note"/>
    <w:basedOn w:val="BodyText"/>
    <w:rsid w:val="00A00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A0A"/>
    <w:pPr>
      <w:framePr w:wrap="auto" w:hAnchor="text" w:y="6049"/>
    </w:pPr>
    <w:rPr>
      <w:color w:val="000000"/>
      <w:sz w:val="40"/>
    </w:rPr>
  </w:style>
  <w:style w:type="paragraph" w:customStyle="1" w:styleId="TOCTitle">
    <w:name w:val="TOCTitle"/>
    <w:basedOn w:val="Heading1"/>
    <w:rsid w:val="00A00A0A"/>
    <w:pPr>
      <w:spacing w:after="240"/>
      <w:jc w:val="center"/>
      <w:outlineLvl w:val="9"/>
    </w:pPr>
    <w:rPr>
      <w:caps/>
    </w:rPr>
  </w:style>
  <w:style w:type="paragraph" w:customStyle="1" w:styleId="Version">
    <w:name w:val="Version"/>
    <w:rsid w:val="00A00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A0A"/>
    <w:pPr>
      <w:keepNext w:val="0"/>
      <w:tabs>
        <w:tab w:val="right" w:pos="4176"/>
      </w:tabs>
      <w:ind w:left="198" w:hanging="198"/>
    </w:pPr>
    <w:rPr>
      <w:rFonts w:ascii="Garamond" w:hAnsi="Garamond"/>
    </w:rPr>
  </w:style>
  <w:style w:type="paragraph" w:styleId="IndexHeading">
    <w:name w:val="index heading"/>
    <w:basedOn w:val="Normal"/>
    <w:next w:val="Index1"/>
    <w:semiHidden/>
    <w:rsid w:val="00A00A0A"/>
    <w:pPr>
      <w:spacing w:before="120" w:after="120"/>
    </w:pPr>
    <w:rPr>
      <w:rFonts w:ascii="Arial" w:hAnsi="Arial"/>
      <w:b/>
      <w:color w:val="918585"/>
      <w:sz w:val="24"/>
    </w:rPr>
  </w:style>
  <w:style w:type="paragraph" w:styleId="Header">
    <w:name w:val="header"/>
    <w:basedOn w:val="Normal"/>
    <w:link w:val="HeaderChar"/>
    <w:rsid w:val="00A00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A0A"/>
    <w:rPr>
      <w:rFonts w:ascii="Times New Roman" w:eastAsia="Times New Roman" w:hAnsi="Times New Roman" w:cs="Times New Roman"/>
      <w:sz w:val="16"/>
      <w:szCs w:val="20"/>
      <w:lang w:val="en-GB" w:eastAsia="en-US"/>
    </w:rPr>
  </w:style>
  <w:style w:type="paragraph" w:customStyle="1" w:styleId="Chapter">
    <w:name w:val="Chapter"/>
    <w:basedOn w:val="Normal"/>
    <w:rsid w:val="00A00A0A"/>
    <w:pPr>
      <w:spacing w:before="240"/>
    </w:pPr>
    <w:rPr>
      <w:rFonts w:ascii="Times New Roman" w:hAnsi="Times New Roman"/>
      <w:smallCaps/>
      <w:spacing w:val="80"/>
      <w:sz w:val="28"/>
    </w:rPr>
  </w:style>
  <w:style w:type="paragraph" w:customStyle="1" w:styleId="InChapter">
    <w:name w:val="InChapter"/>
    <w:basedOn w:val="Heading3"/>
    <w:rsid w:val="00A00A0A"/>
    <w:pPr>
      <w:spacing w:after="240"/>
      <w:outlineLvl w:val="9"/>
    </w:pPr>
    <w:rPr>
      <w:noProof/>
    </w:rPr>
  </w:style>
  <w:style w:type="paragraph" w:styleId="Index2">
    <w:name w:val="index 2"/>
    <w:basedOn w:val="Normal"/>
    <w:next w:val="Normal"/>
    <w:semiHidden/>
    <w:rsid w:val="00A00A0A"/>
    <w:pPr>
      <w:tabs>
        <w:tab w:val="right" w:pos="4176"/>
      </w:tabs>
      <w:ind w:left="568" w:hanging="284"/>
    </w:pPr>
    <w:rPr>
      <w:rFonts w:ascii="Garamond" w:hAnsi="Garamond"/>
    </w:rPr>
  </w:style>
  <w:style w:type="paragraph" w:customStyle="1" w:styleId="Byline">
    <w:name w:val="Byline"/>
    <w:rsid w:val="00A00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A0A"/>
    <w:pPr>
      <w:tabs>
        <w:tab w:val="clear" w:pos="3600"/>
        <w:tab w:val="clear" w:pos="3958"/>
      </w:tabs>
      <w:jc w:val="right"/>
    </w:pPr>
  </w:style>
  <w:style w:type="paragraph" w:styleId="Caption">
    <w:name w:val="caption"/>
    <w:basedOn w:val="BodyText"/>
    <w:next w:val="Normal"/>
    <w:qFormat/>
    <w:rsid w:val="00A00A0A"/>
    <w:pPr>
      <w:framePr w:w="2268" w:hSpace="181" w:vSpace="181" w:wrap="around" w:vAnchor="text" w:hAnchor="page" w:x="1135" w:y="285" w:anchorLock="1"/>
    </w:pPr>
    <w:rPr>
      <w:i/>
    </w:rPr>
  </w:style>
  <w:style w:type="paragraph" w:customStyle="1" w:styleId="MiniTOCTitle">
    <w:name w:val="MiniTOCTitle"/>
    <w:basedOn w:val="Heading4"/>
    <w:rsid w:val="00A00A0A"/>
    <w:pPr>
      <w:spacing w:before="240"/>
      <w:outlineLvl w:val="9"/>
    </w:pPr>
    <w:rPr>
      <w:noProof/>
      <w:sz w:val="24"/>
    </w:rPr>
  </w:style>
  <w:style w:type="paragraph" w:customStyle="1" w:styleId="MiniTOCItem">
    <w:name w:val="MiniTOCItem"/>
    <w:basedOn w:val="ListBullet"/>
    <w:rsid w:val="00A00A0A"/>
    <w:pPr>
      <w:numPr>
        <w:numId w:val="0"/>
      </w:numPr>
      <w:tabs>
        <w:tab w:val="right" w:leader="dot" w:pos="6521"/>
      </w:tabs>
      <w:spacing w:before="0" w:after="0"/>
    </w:pPr>
  </w:style>
  <w:style w:type="paragraph" w:customStyle="1" w:styleId="TOFTitle">
    <w:name w:val="TOFTitle"/>
    <w:basedOn w:val="TOCTitle"/>
    <w:rsid w:val="00A00A0A"/>
  </w:style>
  <w:style w:type="paragraph" w:styleId="TableofFigures">
    <w:name w:val="table of figures"/>
    <w:basedOn w:val="Normal"/>
    <w:next w:val="Normal"/>
    <w:semiHidden/>
    <w:rsid w:val="00A00A0A"/>
    <w:pPr>
      <w:tabs>
        <w:tab w:val="right" w:leader="dot" w:pos="9072"/>
      </w:tabs>
      <w:ind w:left="970" w:hanging="403"/>
    </w:pPr>
    <w:rPr>
      <w:rFonts w:ascii="Times New Roman" w:hAnsi="Times New Roman"/>
      <w:b/>
    </w:rPr>
  </w:style>
  <w:style w:type="paragraph" w:styleId="ListNumber">
    <w:name w:val="List Number"/>
    <w:basedOn w:val="List"/>
    <w:rsid w:val="00A00A0A"/>
    <w:pPr>
      <w:numPr>
        <w:numId w:val="15"/>
      </w:numPr>
      <w:tabs>
        <w:tab w:val="clear" w:pos="340"/>
      </w:tabs>
    </w:pPr>
  </w:style>
  <w:style w:type="character" w:customStyle="1" w:styleId="WingdingSymbols">
    <w:name w:val="Wingding Symbols"/>
    <w:rsid w:val="00A00A0A"/>
    <w:rPr>
      <w:rFonts w:ascii="Wingdings" w:hAnsi="Wingdings"/>
    </w:rPr>
  </w:style>
  <w:style w:type="paragraph" w:customStyle="1" w:styleId="TableHeading">
    <w:name w:val="Table Heading"/>
    <w:basedOn w:val="HeadingBase"/>
    <w:rsid w:val="00A00A0A"/>
    <w:pPr>
      <w:keepLines/>
      <w:pBdr>
        <w:bottom w:val="single" w:sz="6" w:space="1" w:color="918585"/>
      </w:pBdr>
      <w:spacing w:before="240"/>
    </w:pPr>
  </w:style>
  <w:style w:type="character" w:customStyle="1" w:styleId="HotSpot">
    <w:name w:val="HotSpot"/>
    <w:rsid w:val="00A00A0A"/>
    <w:rPr>
      <w:color w:val="0033CC"/>
      <w:u w:val="none"/>
    </w:rPr>
  </w:style>
  <w:style w:type="paragraph" w:customStyle="1" w:styleId="BodyTextRight">
    <w:name w:val="Body Text Right"/>
    <w:basedOn w:val="BodyText"/>
    <w:rsid w:val="00A00A0A"/>
    <w:pPr>
      <w:spacing w:before="0" w:after="0"/>
      <w:jc w:val="right"/>
    </w:pPr>
  </w:style>
  <w:style w:type="paragraph" w:styleId="Index3">
    <w:name w:val="index 3"/>
    <w:basedOn w:val="ListNumber2"/>
    <w:next w:val="Normal"/>
    <w:semiHidden/>
    <w:rsid w:val="00A00A0A"/>
    <w:pPr>
      <w:numPr>
        <w:numId w:val="0"/>
      </w:numPr>
      <w:tabs>
        <w:tab w:val="right" w:leader="dot" w:pos="4176"/>
      </w:tabs>
    </w:pPr>
  </w:style>
  <w:style w:type="paragraph" w:styleId="ListNumber2">
    <w:name w:val="List Number 2"/>
    <w:basedOn w:val="List2"/>
    <w:rsid w:val="00A00A0A"/>
    <w:pPr>
      <w:numPr>
        <w:numId w:val="10"/>
      </w:numPr>
      <w:tabs>
        <w:tab w:val="clear" w:pos="1060"/>
      </w:tabs>
    </w:pPr>
  </w:style>
  <w:style w:type="paragraph" w:customStyle="1" w:styleId="MarginNote">
    <w:name w:val="Margin Note"/>
    <w:basedOn w:val="BodyText"/>
    <w:rsid w:val="00A00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A0A"/>
    <w:rPr>
      <w:sz w:val="32"/>
    </w:rPr>
  </w:style>
  <w:style w:type="paragraph" w:customStyle="1" w:styleId="HeadingProcedure">
    <w:name w:val="Heading Procedure"/>
    <w:basedOn w:val="HeadingBase"/>
    <w:next w:val="Normal"/>
    <w:rsid w:val="00A00A0A"/>
    <w:pPr>
      <w:tabs>
        <w:tab w:val="left" w:pos="0"/>
      </w:tabs>
      <w:spacing w:before="120" w:after="60"/>
    </w:pPr>
    <w:rPr>
      <w:i/>
      <w:color w:val="918585"/>
      <w:sz w:val="22"/>
    </w:rPr>
  </w:style>
  <w:style w:type="paragraph" w:customStyle="1" w:styleId="TableBodyText">
    <w:name w:val="Table Body Text"/>
    <w:basedOn w:val="BodyText"/>
    <w:rsid w:val="00A00A0A"/>
    <w:pPr>
      <w:spacing w:before="60" w:after="60"/>
    </w:pPr>
  </w:style>
  <w:style w:type="paragraph" w:styleId="ListContinue">
    <w:name w:val="List Continue"/>
    <w:basedOn w:val="List"/>
    <w:rsid w:val="00A00A0A"/>
    <w:pPr>
      <w:ind w:firstLine="0"/>
    </w:pPr>
  </w:style>
  <w:style w:type="paragraph" w:customStyle="1" w:styleId="ListNote">
    <w:name w:val="List Note"/>
    <w:basedOn w:val="List"/>
    <w:rsid w:val="00A00A0A"/>
    <w:pPr>
      <w:pBdr>
        <w:top w:val="single" w:sz="6" w:space="2" w:color="918585"/>
        <w:bottom w:val="single" w:sz="6" w:space="2" w:color="918585"/>
      </w:pBdr>
      <w:tabs>
        <w:tab w:val="left" w:pos="1021"/>
      </w:tabs>
      <w:ind w:firstLine="0"/>
    </w:pPr>
  </w:style>
  <w:style w:type="paragraph" w:customStyle="1" w:styleId="Warning">
    <w:name w:val="Warning"/>
    <w:basedOn w:val="BodyText"/>
    <w:rsid w:val="00A00A0A"/>
    <w:pPr>
      <w:shd w:val="clear" w:color="auto" w:fill="D9D9D9"/>
      <w:tabs>
        <w:tab w:val="left" w:pos="992"/>
      </w:tabs>
      <w:ind w:left="119" w:right="119"/>
    </w:pPr>
    <w:rPr>
      <w:sz w:val="20"/>
    </w:rPr>
  </w:style>
  <w:style w:type="paragraph" w:customStyle="1" w:styleId="MarginIcons">
    <w:name w:val="Margin Icons"/>
    <w:basedOn w:val="BodyText"/>
    <w:rsid w:val="00A00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A0A"/>
    <w:rPr>
      <w:rFonts w:ascii="Courier New" w:hAnsi="Courier New"/>
    </w:rPr>
  </w:style>
  <w:style w:type="paragraph" w:customStyle="1" w:styleId="NoteBullet">
    <w:name w:val="Note Bullet"/>
    <w:basedOn w:val="Note"/>
    <w:rsid w:val="00A00A0A"/>
    <w:pPr>
      <w:tabs>
        <w:tab w:val="clear" w:pos="680"/>
      </w:tabs>
      <w:spacing w:before="60" w:after="60"/>
    </w:pPr>
  </w:style>
  <w:style w:type="paragraph" w:customStyle="1" w:styleId="SubHeading2">
    <w:name w:val="SubHeading2"/>
    <w:basedOn w:val="HeadingBase"/>
    <w:rsid w:val="00A00A0A"/>
    <w:pPr>
      <w:spacing w:before="240" w:after="60"/>
    </w:pPr>
    <w:rPr>
      <w:sz w:val="20"/>
    </w:rPr>
  </w:style>
  <w:style w:type="paragraph" w:customStyle="1" w:styleId="SubHeading1">
    <w:name w:val="SubHeading1"/>
    <w:basedOn w:val="HeadingBase"/>
    <w:rsid w:val="00A00A0A"/>
    <w:pPr>
      <w:spacing w:before="240" w:after="60"/>
    </w:pPr>
    <w:rPr>
      <w:color w:val="918585"/>
      <w:sz w:val="22"/>
    </w:rPr>
  </w:style>
  <w:style w:type="paragraph" w:customStyle="1" w:styleId="SideHeading">
    <w:name w:val="Side Heading"/>
    <w:basedOn w:val="HeadingBase"/>
    <w:rsid w:val="00A00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A0A"/>
    <w:pPr>
      <w:tabs>
        <w:tab w:val="num" w:pos="360"/>
      </w:tabs>
    </w:pPr>
  </w:style>
  <w:style w:type="paragraph" w:styleId="PlainText">
    <w:name w:val="Plain Text"/>
    <w:basedOn w:val="Normal"/>
    <w:link w:val="PlainTextChar"/>
    <w:rsid w:val="00A00A0A"/>
    <w:rPr>
      <w:sz w:val="20"/>
    </w:rPr>
  </w:style>
  <w:style w:type="character" w:customStyle="1" w:styleId="PlainTextChar">
    <w:name w:val="Plain Text Char"/>
    <w:basedOn w:val="DefaultParagraphFont"/>
    <w:link w:val="PlainText"/>
    <w:rsid w:val="00A00A0A"/>
    <w:rPr>
      <w:rFonts w:ascii="Courier New" w:eastAsia="Times New Roman" w:hAnsi="Courier New" w:cs="Times New Roman"/>
      <w:sz w:val="20"/>
      <w:szCs w:val="20"/>
      <w:lang w:eastAsia="en-US"/>
    </w:rPr>
  </w:style>
  <w:style w:type="character" w:customStyle="1" w:styleId="MenuOption">
    <w:name w:val="Menu Option"/>
    <w:basedOn w:val="DefaultParagraphFont"/>
    <w:rsid w:val="00A00A0A"/>
    <w:rPr>
      <w:b/>
      <w:smallCaps/>
    </w:rPr>
  </w:style>
  <w:style w:type="paragraph" w:customStyle="1" w:styleId="TableListNumber">
    <w:name w:val="Table List Number"/>
    <w:basedOn w:val="ListNumber"/>
    <w:rsid w:val="00A00A0A"/>
    <w:pPr>
      <w:numPr>
        <w:numId w:val="0"/>
      </w:numPr>
    </w:pPr>
  </w:style>
  <w:style w:type="paragraph" w:styleId="TOC4">
    <w:name w:val="toc 4"/>
    <w:basedOn w:val="TOCBase"/>
    <w:next w:val="Normal"/>
    <w:semiHidden/>
    <w:rsid w:val="00A00A0A"/>
    <w:pPr>
      <w:tabs>
        <w:tab w:val="right" w:leader="dot" w:pos="9071"/>
      </w:tabs>
      <w:ind w:left="1701"/>
    </w:pPr>
  </w:style>
  <w:style w:type="paragraph" w:customStyle="1" w:styleId="ListAlpha">
    <w:name w:val="List Alpha"/>
    <w:basedOn w:val="List"/>
    <w:rsid w:val="00A00A0A"/>
    <w:pPr>
      <w:numPr>
        <w:numId w:val="9"/>
      </w:numPr>
    </w:pPr>
  </w:style>
  <w:style w:type="paragraph" w:customStyle="1" w:styleId="ListAlpha2">
    <w:name w:val="List Alpha 2"/>
    <w:basedOn w:val="List2"/>
    <w:rsid w:val="00A00A0A"/>
    <w:pPr>
      <w:numPr>
        <w:numId w:val="8"/>
      </w:numPr>
    </w:pPr>
  </w:style>
  <w:style w:type="paragraph" w:styleId="List2">
    <w:name w:val="List 2"/>
    <w:basedOn w:val="BodyText"/>
    <w:rsid w:val="00A00A0A"/>
    <w:pPr>
      <w:tabs>
        <w:tab w:val="left" w:pos="680"/>
      </w:tabs>
      <w:spacing w:before="60" w:after="60"/>
      <w:ind w:left="680" w:hanging="340"/>
    </w:pPr>
  </w:style>
  <w:style w:type="paragraph" w:styleId="List3">
    <w:name w:val="List 3"/>
    <w:basedOn w:val="BodyText"/>
    <w:rsid w:val="00A00A0A"/>
    <w:pPr>
      <w:tabs>
        <w:tab w:val="left" w:pos="1021"/>
      </w:tabs>
      <w:spacing w:before="60" w:after="60"/>
      <w:ind w:left="1020" w:hanging="340"/>
    </w:pPr>
  </w:style>
  <w:style w:type="paragraph" w:styleId="List4">
    <w:name w:val="List 4"/>
    <w:basedOn w:val="BodyText"/>
    <w:rsid w:val="00A00A0A"/>
    <w:pPr>
      <w:tabs>
        <w:tab w:val="left" w:pos="1361"/>
      </w:tabs>
      <w:spacing w:before="60" w:after="60"/>
      <w:ind w:left="1361" w:hanging="340"/>
    </w:pPr>
  </w:style>
  <w:style w:type="paragraph" w:styleId="List5">
    <w:name w:val="List 5"/>
    <w:basedOn w:val="BodyText"/>
    <w:rsid w:val="00A00A0A"/>
    <w:pPr>
      <w:tabs>
        <w:tab w:val="left" w:pos="1701"/>
      </w:tabs>
      <w:spacing w:before="60" w:after="60"/>
      <w:ind w:left="1701" w:hanging="340"/>
    </w:pPr>
  </w:style>
  <w:style w:type="paragraph" w:styleId="ListBullet3">
    <w:name w:val="List Bullet 3"/>
    <w:basedOn w:val="List3"/>
    <w:rsid w:val="00A00A0A"/>
    <w:pPr>
      <w:numPr>
        <w:numId w:val="14"/>
      </w:numPr>
      <w:tabs>
        <w:tab w:val="clear" w:pos="1021"/>
      </w:tabs>
      <w:ind w:left="1037" w:hanging="357"/>
    </w:pPr>
  </w:style>
  <w:style w:type="paragraph" w:styleId="ListBullet4">
    <w:name w:val="List Bullet 4"/>
    <w:basedOn w:val="List4"/>
    <w:rsid w:val="00A00A0A"/>
    <w:pPr>
      <w:numPr>
        <w:numId w:val="3"/>
      </w:numPr>
      <w:tabs>
        <w:tab w:val="clear" w:pos="1361"/>
      </w:tabs>
    </w:pPr>
  </w:style>
  <w:style w:type="paragraph" w:styleId="ListBullet5">
    <w:name w:val="List Bullet 5"/>
    <w:basedOn w:val="List5"/>
    <w:rsid w:val="00A00A0A"/>
    <w:pPr>
      <w:numPr>
        <w:numId w:val="4"/>
      </w:numPr>
    </w:pPr>
  </w:style>
  <w:style w:type="paragraph" w:styleId="ListContinue2">
    <w:name w:val="List Continue 2"/>
    <w:basedOn w:val="List2"/>
    <w:rsid w:val="00A00A0A"/>
    <w:pPr>
      <w:ind w:firstLine="0"/>
    </w:pPr>
  </w:style>
  <w:style w:type="paragraph" w:styleId="ListContinue3">
    <w:name w:val="List Continue 3"/>
    <w:basedOn w:val="List3"/>
    <w:rsid w:val="00A00A0A"/>
    <w:pPr>
      <w:ind w:left="1021" w:firstLine="0"/>
    </w:pPr>
  </w:style>
  <w:style w:type="paragraph" w:styleId="ListContinue4">
    <w:name w:val="List Continue 4"/>
    <w:basedOn w:val="List4"/>
    <w:rsid w:val="00A00A0A"/>
    <w:pPr>
      <w:ind w:firstLine="0"/>
    </w:pPr>
  </w:style>
  <w:style w:type="paragraph" w:styleId="ListContinue5">
    <w:name w:val="List Continue 5"/>
    <w:basedOn w:val="List5"/>
    <w:rsid w:val="00A00A0A"/>
    <w:pPr>
      <w:ind w:firstLine="0"/>
    </w:pPr>
  </w:style>
  <w:style w:type="paragraph" w:styleId="ListNumber3">
    <w:name w:val="List Number 3"/>
    <w:basedOn w:val="List3"/>
    <w:rsid w:val="00A00A0A"/>
    <w:pPr>
      <w:numPr>
        <w:numId w:val="5"/>
      </w:numPr>
    </w:pPr>
  </w:style>
  <w:style w:type="paragraph" w:styleId="ListNumber4">
    <w:name w:val="List Number 4"/>
    <w:basedOn w:val="List4"/>
    <w:rsid w:val="00A00A0A"/>
    <w:pPr>
      <w:numPr>
        <w:numId w:val="6"/>
      </w:numPr>
    </w:pPr>
  </w:style>
  <w:style w:type="paragraph" w:styleId="ListNumber5">
    <w:name w:val="List Number 5"/>
    <w:basedOn w:val="List5"/>
    <w:rsid w:val="00A00A0A"/>
    <w:pPr>
      <w:numPr>
        <w:numId w:val="7"/>
      </w:numPr>
    </w:pPr>
  </w:style>
  <w:style w:type="paragraph" w:styleId="BlockText">
    <w:name w:val="Block Text"/>
    <w:basedOn w:val="Normal"/>
    <w:rsid w:val="00A00A0A"/>
    <w:pPr>
      <w:spacing w:after="120"/>
      <w:ind w:left="1440" w:right="1440"/>
    </w:pPr>
  </w:style>
  <w:style w:type="character" w:customStyle="1" w:styleId="Subscript">
    <w:name w:val="Subscript"/>
    <w:basedOn w:val="DefaultParagraphFont"/>
    <w:rsid w:val="00A00A0A"/>
    <w:rPr>
      <w:sz w:val="16"/>
      <w:vertAlign w:val="subscript"/>
    </w:rPr>
  </w:style>
  <w:style w:type="character" w:customStyle="1" w:styleId="Superscript">
    <w:name w:val="Superscript"/>
    <w:basedOn w:val="DefaultParagraphFont"/>
    <w:rsid w:val="00A00A0A"/>
    <w:rPr>
      <w:sz w:val="16"/>
      <w:vertAlign w:val="superscript"/>
    </w:rPr>
  </w:style>
  <w:style w:type="character" w:customStyle="1" w:styleId="Symbols">
    <w:name w:val="Symbols"/>
    <w:basedOn w:val="DefaultParagraphFont"/>
    <w:rsid w:val="00A00A0A"/>
    <w:rPr>
      <w:rFonts w:ascii="Symbol" w:hAnsi="Symbol"/>
    </w:rPr>
  </w:style>
  <w:style w:type="character" w:customStyle="1" w:styleId="MenuOptions">
    <w:name w:val="Menu Options"/>
    <w:basedOn w:val="DefaultParagraphFont"/>
    <w:rsid w:val="00A00A0A"/>
    <w:rPr>
      <w:rFonts w:ascii="Arial Narrow" w:hAnsi="Arial Narrow"/>
      <w:smallCaps/>
    </w:rPr>
  </w:style>
  <w:style w:type="character" w:customStyle="1" w:styleId="Buttons">
    <w:name w:val="Buttons"/>
    <w:basedOn w:val="DefaultParagraphFont"/>
    <w:rsid w:val="00A00A0A"/>
    <w:rPr>
      <w:b/>
    </w:rPr>
  </w:style>
  <w:style w:type="character" w:customStyle="1" w:styleId="Underlined">
    <w:name w:val="Underlined"/>
    <w:basedOn w:val="DefaultParagraphFont"/>
    <w:rsid w:val="00A00A0A"/>
    <w:rPr>
      <w:u w:val="single"/>
    </w:rPr>
  </w:style>
  <w:style w:type="paragraph" w:customStyle="1" w:styleId="TableBodyTextRight">
    <w:name w:val="Table Body Text Right"/>
    <w:basedOn w:val="TableBodyText"/>
    <w:rsid w:val="00A00A0A"/>
    <w:pPr>
      <w:widowControl w:val="0"/>
      <w:autoSpaceDE w:val="0"/>
      <w:autoSpaceDN w:val="0"/>
      <w:adjustRightInd w:val="0"/>
      <w:jc w:val="right"/>
    </w:pPr>
    <w:rPr>
      <w:rFonts w:cs="Arial"/>
      <w:szCs w:val="18"/>
    </w:rPr>
  </w:style>
  <w:style w:type="paragraph" w:customStyle="1" w:styleId="CopyrightText">
    <w:name w:val="Copyright Text"/>
    <w:basedOn w:val="BodyText"/>
    <w:rsid w:val="00A00A0A"/>
    <w:rPr>
      <w:sz w:val="18"/>
    </w:rPr>
  </w:style>
  <w:style w:type="paragraph" w:customStyle="1" w:styleId="BodySmallRight">
    <w:name w:val="Body Small Right"/>
    <w:basedOn w:val="BodyTextRight"/>
    <w:rsid w:val="00A00A0A"/>
    <w:rPr>
      <w:sz w:val="18"/>
      <w:szCs w:val="18"/>
    </w:rPr>
  </w:style>
  <w:style w:type="paragraph" w:customStyle="1" w:styleId="MarginEdition">
    <w:name w:val="Margin Edition"/>
    <w:basedOn w:val="MarginNote"/>
    <w:rsid w:val="00A00A0A"/>
    <w:pPr>
      <w:spacing w:before="0" w:after="0"/>
    </w:pPr>
    <w:rPr>
      <w:rFonts w:ascii="Times New Roman" w:hAnsi="Times New Roman"/>
      <w:color w:val="999999"/>
    </w:rPr>
  </w:style>
  <w:style w:type="paragraph" w:customStyle="1" w:styleId="Spacer">
    <w:name w:val="Spacer"/>
    <w:basedOn w:val="Normal"/>
    <w:rsid w:val="00A00A0A"/>
    <w:rPr>
      <w:sz w:val="2"/>
      <w:szCs w:val="2"/>
    </w:rPr>
  </w:style>
  <w:style w:type="character" w:customStyle="1" w:styleId="Small">
    <w:name w:val="Small"/>
    <w:basedOn w:val="DefaultParagraphFont"/>
    <w:rsid w:val="00A00A0A"/>
    <w:rPr>
      <w:sz w:val="16"/>
    </w:rPr>
  </w:style>
  <w:style w:type="paragraph" w:customStyle="1" w:styleId="WideTable">
    <w:name w:val="Wide Table"/>
    <w:basedOn w:val="Normal"/>
    <w:rsid w:val="00A00A0A"/>
    <w:pPr>
      <w:ind w:left="-1418"/>
    </w:pPr>
    <w:rPr>
      <w:sz w:val="2"/>
      <w:szCs w:val="2"/>
    </w:rPr>
  </w:style>
  <w:style w:type="character" w:styleId="PageNumber">
    <w:name w:val="page number"/>
    <w:basedOn w:val="DefaultParagraphFont"/>
    <w:rsid w:val="00A00A0A"/>
  </w:style>
  <w:style w:type="paragraph" w:styleId="Quote">
    <w:name w:val="Quote"/>
    <w:basedOn w:val="Heading1"/>
    <w:link w:val="QuoteChar"/>
    <w:qFormat/>
    <w:rsid w:val="00A00A0A"/>
    <w:rPr>
      <w:b w:val="0"/>
      <w:sz w:val="72"/>
      <w:szCs w:val="72"/>
      <w:lang w:val="en-NZ"/>
    </w:rPr>
  </w:style>
  <w:style w:type="character" w:customStyle="1" w:styleId="QuoteChar">
    <w:name w:val="Quote Char"/>
    <w:basedOn w:val="DefaultParagraphFont"/>
    <w:link w:val="Quote"/>
    <w:rsid w:val="00A00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A0A"/>
    <w:pPr>
      <w:pageBreakBefore/>
    </w:pPr>
  </w:style>
  <w:style w:type="paragraph" w:customStyle="1" w:styleId="Border">
    <w:name w:val="Border"/>
    <w:basedOn w:val="Normal"/>
    <w:qFormat/>
    <w:rsid w:val="00A00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A0A"/>
    <w:rPr>
      <w:b/>
      <w:bCs/>
      <w:i/>
      <w:iCs/>
      <w:color w:val="auto"/>
    </w:rPr>
  </w:style>
  <w:style w:type="paragraph" w:styleId="IntenseQuote">
    <w:name w:val="Intense Quote"/>
    <w:basedOn w:val="Normal"/>
    <w:next w:val="Normal"/>
    <w:link w:val="IntenseQuoteChar"/>
    <w:uiPriority w:val="30"/>
    <w:qFormat/>
    <w:rsid w:val="00A00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A0A"/>
    <w:rPr>
      <w:smallCaps/>
      <w:color w:val="auto"/>
      <w:u w:val="single"/>
    </w:rPr>
  </w:style>
  <w:style w:type="character" w:styleId="IntenseReference">
    <w:name w:val="Intense Reference"/>
    <w:basedOn w:val="DefaultParagraphFont"/>
    <w:uiPriority w:val="32"/>
    <w:qFormat/>
    <w:rsid w:val="00A00A0A"/>
    <w:rPr>
      <w:b/>
      <w:bCs/>
      <w:smallCaps/>
      <w:color w:val="auto"/>
      <w:spacing w:val="5"/>
      <w:u w:val="single"/>
    </w:rPr>
  </w:style>
  <w:style w:type="paragraph" w:customStyle="1" w:styleId="2ColumnHeading">
    <w:name w:val="2Column Heading"/>
    <w:basedOn w:val="BodyText"/>
    <w:qFormat/>
    <w:rsid w:val="00A00A0A"/>
    <w:pPr>
      <w:spacing w:after="60"/>
      <w:ind w:left="-2268"/>
    </w:pPr>
    <w:rPr>
      <w:b/>
    </w:rPr>
  </w:style>
  <w:style w:type="paragraph" w:customStyle="1" w:styleId="Heading1TOC">
    <w:name w:val="Heading1 TOC"/>
    <w:basedOn w:val="Normal"/>
    <w:qFormat/>
    <w:rsid w:val="00A00A0A"/>
    <w:pPr>
      <w:spacing w:before="240" w:after="120"/>
    </w:pPr>
    <w:rPr>
      <w:rFonts w:ascii="Times New Roman" w:hAnsi="Times New Roman"/>
      <w:b/>
      <w:sz w:val="32"/>
    </w:rPr>
  </w:style>
  <w:style w:type="paragraph" w:customStyle="1" w:styleId="Heading2TOC">
    <w:name w:val="Heading2 TOC"/>
    <w:basedOn w:val="Normal"/>
    <w:qFormat/>
    <w:rsid w:val="00A00A0A"/>
    <w:pPr>
      <w:spacing w:before="240" w:after="60"/>
    </w:pPr>
    <w:rPr>
      <w:rFonts w:ascii="Times New Roman" w:hAnsi="Times New Roman"/>
      <w:b/>
      <w:sz w:val="28"/>
    </w:rPr>
  </w:style>
  <w:style w:type="character" w:customStyle="1" w:styleId="Underline">
    <w:name w:val="Underline"/>
    <w:basedOn w:val="DefaultParagraphFont"/>
    <w:qFormat/>
    <w:rsid w:val="00A00A0A"/>
    <w:rPr>
      <w:u w:val="single"/>
    </w:rPr>
  </w:style>
  <w:style w:type="character" w:customStyle="1" w:styleId="BoldandItalics">
    <w:name w:val="Bold and Italics"/>
    <w:qFormat/>
    <w:rsid w:val="00A00A0A"/>
    <w:rPr>
      <w:b/>
      <w:i/>
      <w:u w:val="none"/>
    </w:rPr>
  </w:style>
  <w:style w:type="paragraph" w:styleId="BalloonText">
    <w:name w:val="Balloon Text"/>
    <w:basedOn w:val="Normal"/>
    <w:link w:val="BalloonTextChar"/>
    <w:rsid w:val="00A00A0A"/>
    <w:rPr>
      <w:rFonts w:ascii="Tahoma" w:hAnsi="Tahoma" w:cs="Tahoma"/>
      <w:sz w:val="16"/>
      <w:szCs w:val="16"/>
    </w:rPr>
  </w:style>
  <w:style w:type="character" w:customStyle="1" w:styleId="BalloonTextChar">
    <w:name w:val="Balloon Text Char"/>
    <w:basedOn w:val="DefaultParagraphFont"/>
    <w:link w:val="BalloonText"/>
    <w:rsid w:val="00A00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A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A0A"/>
    <w:rPr>
      <w:b/>
      <w:color w:val="660033"/>
      <w:spacing w:val="0"/>
    </w:rPr>
  </w:style>
  <w:style w:type="paragraph" w:customStyle="1" w:styleId="Nameditemlist">
    <w:name w:val="Named item list"/>
    <w:basedOn w:val="BodyText"/>
    <w:qFormat/>
    <w:rsid w:val="00A00A0A"/>
    <w:pPr>
      <w:tabs>
        <w:tab w:val="left" w:pos="2835"/>
      </w:tabs>
      <w:ind w:left="2835" w:hanging="2835"/>
    </w:pPr>
  </w:style>
  <w:style w:type="paragraph" w:customStyle="1" w:styleId="BodyTextnopadding">
    <w:name w:val="Body Text no padding"/>
    <w:basedOn w:val="BodyText"/>
    <w:qFormat/>
    <w:rsid w:val="00A00A0A"/>
    <w:pPr>
      <w:spacing w:before="0" w:after="0"/>
    </w:pPr>
  </w:style>
  <w:style w:type="paragraph" w:customStyle="1" w:styleId="BodyTextBold">
    <w:name w:val="Body Text Bold"/>
    <w:basedOn w:val="BodyText"/>
    <w:qFormat/>
    <w:rsid w:val="00A00A0A"/>
    <w:rPr>
      <w:b/>
    </w:rPr>
  </w:style>
  <w:style w:type="character" w:styleId="Hyperlink">
    <w:name w:val="Hyperlink"/>
    <w:basedOn w:val="DefaultParagraphFont"/>
    <w:uiPriority w:val="99"/>
    <w:unhideWhenUsed/>
    <w:rsid w:val="00F57A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4434</Characters>
  <Application>Microsoft Office Word</Application>
  <DocSecurity>0</DocSecurity>
  <Lines>134</Lines>
  <Paragraphs>106</Paragraphs>
  <ScaleCrop>false</ScaleCrop>
  <Company>Author-it Software Corporation Ltd.</Company>
  <LinksUpToDate>false</LinksUpToDate>
  <CharactersWithSpaces>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HLTRNL001 Support a person with chronic kidney disease</dc:title>
  <dc:subject>Approved</dc:subject>
  <dc:creator>SkillsIQ</dc:creator>
  <cp:keywords>Release: 1</cp:keywords>
  <dc:description>Review Date: 12 April 2008</dc:description>
  <cp:lastModifiedBy>HSD_TPCMSd.prod</cp:lastModifiedBy>
  <cp:revision>3</cp:revision>
  <dcterms:created xsi:type="dcterms:W3CDTF">2022-11-24T15:08:00Z</dcterms:created>
  <dcterms:modified xsi:type="dcterms:W3CDTF">2022-11-24T15:08:00Z</dcterms:modified>
</cp:coreProperties>
</file>