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2E3" w:rsidP="00A32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HLTPOP029 Work in a population health context</w:t>
      </w:r>
      <w:r>
        <w:fldChar w:fldCharType="end"/>
      </w:r>
    </w:p>
    <w:p w:rsidR="00A322E3" w:rsidP="00A322E3">
      <w:pPr>
        <w:pStyle w:val="Version"/>
        <w:sectPr w:rsidSect="00BE7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7FC5" w:rsidP="00BE7FC5">
      <w:pPr>
        <w:pStyle w:val="SuperHeading"/>
      </w:pPr>
      <w:r w:rsidRPr="00BE7FC5">
        <w:t>Assessment Requirements for HLTPOP029 Work in a population health context</w:t>
      </w:r>
    </w:p>
    <w:p w:rsidR="00000000" w:rsidRPr="00BE7FC5" w:rsidP="00BE7FC5">
      <w:pPr>
        <w:pStyle w:val="Heading1"/>
      </w:pPr>
      <w:bookmarkStart w:id="1" w:name="O_1165116"/>
      <w:bookmarkEnd w:id="1"/>
      <w:r w:rsidRPr="00BE7F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E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FC5">
            <w:pPr>
              <w:pStyle w:val="BodyText"/>
              <w:rPr>
                <w:lang w:val="en-NZ"/>
              </w:rPr>
            </w:pPr>
            <w:r w:rsidRPr="00BE7FC5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FC5">
            <w:pPr>
              <w:pStyle w:val="BodyText"/>
              <w:rPr>
                <w:lang w:val="en-NZ"/>
              </w:rPr>
            </w:pPr>
            <w:r w:rsidRPr="00BE7FC5">
              <w:t>Comments</w:t>
            </w:r>
          </w:p>
        </w:tc>
      </w:tr>
      <w:tr w:rsidTr="00BE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FC5" w:rsidP="00BE7FC5">
            <w:pPr>
              <w:pStyle w:val="BodyText"/>
            </w:pPr>
            <w:r w:rsidRPr="00BE7FC5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FC5" w:rsidP="00BE7FC5">
            <w:pPr>
              <w:pStyle w:val="BodyText"/>
            </w:pPr>
            <w:r w:rsidRPr="00BE7FC5">
              <w:t>Release 2.  HLTPOP029 Work in a population health context supersedes and is equivalent to Release 1. HLTPOP029 Work in a population health context.</w:t>
            </w:r>
          </w:p>
          <w:p w:rsidR="00000000" w:rsidP="00BE7FC5">
            <w:pPr>
              <w:pStyle w:val="BodyText"/>
              <w:rPr>
                <w:lang w:val="en-NZ"/>
              </w:rPr>
            </w:pPr>
            <w:r w:rsidRPr="00BE7FC5">
              <w:t>Minor changes. Mapping Info Table Notes added for superseded unit HLTPOP005 Work in a population health cont</w:t>
            </w:r>
            <w:r w:rsidRPr="00BE7FC5">
              <w:t>ext.</w:t>
            </w:r>
          </w:p>
        </w:tc>
      </w:tr>
      <w:tr w:rsidTr="00BE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FC5" w:rsidP="00BE7FC5">
            <w:pPr>
              <w:pStyle w:val="BodyText"/>
            </w:pPr>
            <w:r w:rsidRPr="00BE7FC5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FC5" w:rsidP="00BE7FC5">
            <w:pPr>
              <w:pStyle w:val="BodyText"/>
            </w:pPr>
            <w:r w:rsidRPr="00BE7FC5">
              <w:t>Release 1. HLTPOP029 Work in a population health context supersedes and is equivalent to HLTPOP005 Work in a population health context.</w:t>
            </w:r>
          </w:p>
        </w:tc>
      </w:tr>
    </w:tbl>
    <w:p w:rsidR="00000000" w:rsidRPr="00BE7FC5" w:rsidP="00BE7FC5">
      <w:pPr>
        <w:pStyle w:val="BodyText"/>
      </w:pPr>
    </w:p>
    <w:p w:rsidR="00000000" w:rsidRPr="00BE7FC5" w:rsidP="00BE7FC5">
      <w:pPr>
        <w:pStyle w:val="AllowPageBreak"/>
      </w:pPr>
    </w:p>
    <w:p w:rsidR="00000000" w:rsidRPr="00BE7FC5" w:rsidP="00BE7FC5">
      <w:pPr>
        <w:pStyle w:val="Heading1"/>
      </w:pPr>
      <w:bookmarkStart w:id="2" w:name="O_1165115"/>
      <w:bookmarkEnd w:id="2"/>
      <w:r w:rsidRPr="00BE7FC5">
        <w:t>Performance Evidence</w:t>
      </w:r>
    </w:p>
    <w:p w:rsidR="00000000" w:rsidRPr="00BE7FC5" w:rsidP="00A322E3">
      <w:pPr>
        <w:pStyle w:val="BodyText"/>
      </w:pPr>
      <w:r w:rsidRPr="00BE7FC5">
        <w:t>Evidence of the ability to com</w:t>
      </w:r>
      <w:r w:rsidRPr="00BE7FC5">
        <w:t>plete tasks outlined in elements and performance criteria of this unit in the context of the job role, and:</w:t>
      </w:r>
    </w:p>
    <w:p w:rsidR="00000000" w:rsidRPr="00BE7FC5" w:rsidP="00BE7FC5">
      <w:pPr>
        <w:pStyle w:val="ListBullet"/>
      </w:pPr>
      <w:r w:rsidRPr="00BE7FC5">
        <w:t>identify at least three organisations that support population health work and their contributions</w:t>
      </w:r>
    </w:p>
    <w:p w:rsidR="00000000" w:rsidRPr="00BE7FC5" w:rsidP="00BE7FC5">
      <w:pPr>
        <w:pStyle w:val="ListBullet"/>
      </w:pPr>
      <w:r w:rsidRPr="00BE7FC5">
        <w:t>identify and research how work will incorporate c</w:t>
      </w:r>
      <w:r w:rsidRPr="00BE7FC5">
        <w:t>ontext and key principles of population health approach relevant to work with at least one community or project.</w:t>
      </w:r>
    </w:p>
    <w:p w:rsidR="00000000" w:rsidRPr="00BE7FC5" w:rsidP="00BE7FC5">
      <w:pPr>
        <w:pStyle w:val="AllowPageBreak"/>
      </w:pPr>
    </w:p>
    <w:p w:rsidR="00000000" w:rsidRPr="00BE7FC5" w:rsidP="00BE7FC5">
      <w:pPr>
        <w:pStyle w:val="Heading1"/>
      </w:pPr>
      <w:bookmarkStart w:id="3" w:name="O_1165114"/>
      <w:bookmarkEnd w:id="3"/>
      <w:r w:rsidRPr="00BE7FC5">
        <w:t>Knowledge Evidence</w:t>
      </w:r>
    </w:p>
    <w:p w:rsidR="00000000" w:rsidRPr="00BE7FC5" w:rsidP="00A322E3">
      <w:pPr>
        <w:pStyle w:val="BodyText"/>
      </w:pPr>
      <w:r w:rsidRPr="00BE7FC5">
        <w:t>Demonstrated knowledge required to complete the tasks outlined in elements and performance criteria of th</w:t>
      </w:r>
      <w:r w:rsidRPr="00BE7FC5">
        <w:t>is unit:</w:t>
      </w:r>
    </w:p>
    <w:p w:rsidR="00000000" w:rsidRPr="00BE7FC5" w:rsidP="00BE7FC5">
      <w:pPr>
        <w:pStyle w:val="ListBullet"/>
      </w:pPr>
      <w:r w:rsidRPr="00BE7FC5">
        <w:t>recent public health strategies and relevant local codes of practice, legislation and regulatory frameworks</w:t>
      </w:r>
    </w:p>
    <w:p w:rsidR="00000000" w:rsidRPr="00BE7FC5" w:rsidP="00BE7FC5">
      <w:pPr>
        <w:pStyle w:val="ListBullet"/>
      </w:pPr>
      <w:r w:rsidRPr="00BE7FC5">
        <w:t>health determinants, including:</w:t>
      </w:r>
    </w:p>
    <w:p w:rsidR="00000000" w:rsidRPr="00BE7FC5" w:rsidP="00BE7FC5">
      <w:pPr>
        <w:pStyle w:val="ListBullet2"/>
      </w:pPr>
      <w:r w:rsidRPr="00BE7FC5">
        <w:t>political</w:t>
      </w:r>
    </w:p>
    <w:p w:rsidR="00000000" w:rsidRPr="00BE7FC5" w:rsidP="00BE7FC5">
      <w:pPr>
        <w:pStyle w:val="ListBullet2"/>
      </w:pPr>
      <w:r w:rsidRPr="00BE7FC5">
        <w:t>biological and genetic factors</w:t>
      </w:r>
    </w:p>
    <w:p w:rsidR="00000000" w:rsidRPr="00BE7FC5" w:rsidP="00BE7FC5">
      <w:pPr>
        <w:pStyle w:val="ListBullet2"/>
      </w:pPr>
      <w:r w:rsidRPr="00BE7FC5">
        <w:t>physical environment</w:t>
      </w:r>
    </w:p>
    <w:p w:rsidR="00000000" w:rsidRPr="00BE7FC5" w:rsidP="00BE7FC5">
      <w:pPr>
        <w:pStyle w:val="ListBullet2"/>
      </w:pPr>
      <w:r w:rsidRPr="00BE7FC5">
        <w:t>socio-economic factors, including:</w:t>
      </w:r>
    </w:p>
    <w:p w:rsidR="00000000" w:rsidRPr="00BE7FC5" w:rsidP="00BE7FC5">
      <w:pPr>
        <w:pStyle w:val="ListBullet3"/>
      </w:pPr>
      <w:r w:rsidRPr="00BE7FC5">
        <w:t>social gradient</w:t>
      </w:r>
    </w:p>
    <w:p w:rsidR="00000000" w:rsidRPr="00BE7FC5" w:rsidP="00BE7FC5">
      <w:pPr>
        <w:pStyle w:val="ListBullet3"/>
      </w:pPr>
      <w:r w:rsidRPr="00BE7FC5">
        <w:t>stress</w:t>
      </w:r>
    </w:p>
    <w:p w:rsidR="00000000" w:rsidRPr="00BE7FC5" w:rsidP="00BE7FC5">
      <w:pPr>
        <w:pStyle w:val="ListBullet3"/>
      </w:pPr>
      <w:r w:rsidRPr="00BE7FC5">
        <w:t>social exclusion</w:t>
      </w:r>
    </w:p>
    <w:p w:rsidR="00000000" w:rsidRPr="00BE7FC5" w:rsidP="00BE7FC5">
      <w:pPr>
        <w:pStyle w:val="ListBullet3"/>
      </w:pPr>
      <w:r w:rsidRPr="00BE7FC5">
        <w:t>work</w:t>
      </w:r>
    </w:p>
    <w:p w:rsidR="00000000" w:rsidRPr="00BE7FC5" w:rsidP="00BE7FC5">
      <w:pPr>
        <w:pStyle w:val="ListBullet3"/>
      </w:pPr>
      <w:r w:rsidRPr="00BE7FC5">
        <w:t>unemployment</w:t>
      </w:r>
    </w:p>
    <w:p w:rsidR="00000000" w:rsidRPr="00BE7FC5" w:rsidP="00BE7FC5">
      <w:pPr>
        <w:pStyle w:val="ListBullet3"/>
      </w:pPr>
      <w:r w:rsidRPr="00BE7FC5">
        <w:t>social support</w:t>
      </w:r>
    </w:p>
    <w:p w:rsidR="00000000" w:rsidRPr="00BE7FC5" w:rsidP="00BE7FC5">
      <w:pPr>
        <w:pStyle w:val="ListBullet3"/>
      </w:pPr>
      <w:r w:rsidRPr="00BE7FC5">
        <w:t>addiction</w:t>
      </w:r>
    </w:p>
    <w:p w:rsidR="00000000" w:rsidRPr="00BE7FC5" w:rsidP="00BE7FC5">
      <w:pPr>
        <w:pStyle w:val="ListBullet3"/>
      </w:pPr>
      <w:r w:rsidRPr="00BE7FC5">
        <w:t>food</w:t>
      </w:r>
    </w:p>
    <w:p w:rsidR="00000000" w:rsidRPr="00BE7FC5" w:rsidP="00BE7FC5">
      <w:pPr>
        <w:pStyle w:val="ListBullet3"/>
      </w:pPr>
      <w:r w:rsidRPr="00BE7FC5">
        <w:t>transport</w:t>
      </w:r>
    </w:p>
    <w:p w:rsidR="00000000" w:rsidRPr="00BE7FC5" w:rsidP="00BE7FC5">
      <w:pPr>
        <w:pStyle w:val="ListBullet3"/>
      </w:pPr>
      <w:r w:rsidRPr="00BE7FC5">
        <w:t>housing</w:t>
      </w:r>
    </w:p>
    <w:p w:rsidR="00000000" w:rsidRPr="00BE7FC5" w:rsidP="00BE7FC5">
      <w:pPr>
        <w:pStyle w:val="ListBullet2"/>
      </w:pPr>
      <w:r w:rsidRPr="00BE7FC5">
        <w:t>behavioural</w:t>
      </w:r>
    </w:p>
    <w:p w:rsidR="00000000" w:rsidRPr="00BE7FC5" w:rsidP="00BE7FC5">
      <w:pPr>
        <w:pStyle w:val="ListBullet2"/>
      </w:pPr>
      <w:r w:rsidRPr="00BE7FC5">
        <w:t>cultural</w:t>
      </w:r>
    </w:p>
    <w:p w:rsidR="00000000" w:rsidRPr="00BE7FC5" w:rsidP="00BE7FC5">
      <w:pPr>
        <w:pStyle w:val="ListBullet2"/>
      </w:pPr>
      <w:r w:rsidRPr="00BE7FC5">
        <w:t>quality of health services</w:t>
      </w:r>
    </w:p>
    <w:p w:rsidR="00000000" w:rsidRPr="00BE7FC5" w:rsidP="00BE7FC5">
      <w:pPr>
        <w:pStyle w:val="ListBullet"/>
      </w:pPr>
      <w:r w:rsidRPr="00BE7FC5">
        <w:t>concepts and models of health, including:</w:t>
      </w:r>
    </w:p>
    <w:p w:rsidR="00000000" w:rsidRPr="00BE7FC5" w:rsidP="00BE7FC5">
      <w:pPr>
        <w:pStyle w:val="ListBullet2"/>
      </w:pPr>
      <w:r w:rsidRPr="00BE7FC5">
        <w:t>medical model</w:t>
      </w:r>
    </w:p>
    <w:p w:rsidR="00000000" w:rsidRPr="00BE7FC5" w:rsidP="00BE7FC5">
      <w:pPr>
        <w:pStyle w:val="ListBullet2"/>
      </w:pPr>
      <w:r w:rsidRPr="00BE7FC5">
        <w:t>salutogenic model</w:t>
      </w:r>
    </w:p>
    <w:p w:rsidR="00000000" w:rsidRPr="00BE7FC5" w:rsidP="00BE7FC5">
      <w:pPr>
        <w:pStyle w:val="ListBullet2"/>
      </w:pPr>
      <w:r w:rsidRPr="00BE7FC5">
        <w:t>social view of health</w:t>
      </w:r>
    </w:p>
    <w:p w:rsidR="00000000" w:rsidRPr="00BE7FC5" w:rsidP="00BE7FC5">
      <w:pPr>
        <w:pStyle w:val="ListBullet2"/>
      </w:pPr>
      <w:r w:rsidRPr="00BE7FC5">
        <w:t xml:space="preserve">academic and professional </w:t>
      </w:r>
    </w:p>
    <w:p w:rsidR="00000000" w:rsidRPr="00BE7FC5" w:rsidP="00BE7FC5">
      <w:pPr>
        <w:pStyle w:val="ListBullet"/>
      </w:pPr>
      <w:r w:rsidRPr="00BE7FC5">
        <w:t>historical, social, political and economic context of population health work and how it relates to and affects environmental health and the subsequent impact on individual and community needs</w:t>
      </w:r>
    </w:p>
    <w:p w:rsidR="00000000" w:rsidRPr="00BE7FC5" w:rsidP="00BE7FC5">
      <w:pPr>
        <w:pStyle w:val="ListBullet"/>
      </w:pPr>
      <w:r w:rsidRPr="00BE7FC5">
        <w:t>principles of health promotion</w:t>
      </w:r>
    </w:p>
    <w:p w:rsidR="00000000" w:rsidRPr="00BE7FC5" w:rsidP="00BE7FC5">
      <w:pPr>
        <w:pStyle w:val="ListBullet"/>
      </w:pPr>
      <w:r w:rsidRPr="00BE7FC5">
        <w:t>princ</w:t>
      </w:r>
      <w:r w:rsidRPr="00BE7FC5">
        <w:t>iples of population health, including those focused on working with Aboriginal or Torres Strait Islander communities</w:t>
      </w:r>
    </w:p>
    <w:p w:rsidR="00000000" w:rsidRPr="00BE7FC5" w:rsidP="00BE7FC5">
      <w:pPr>
        <w:pStyle w:val="ListBullet"/>
      </w:pPr>
      <w:r w:rsidRPr="00BE7FC5">
        <w:t>equity issues in population health</w:t>
      </w:r>
    </w:p>
    <w:p w:rsidR="00000000" w:rsidRPr="00BE7FC5" w:rsidP="00BE7FC5">
      <w:pPr>
        <w:pStyle w:val="ListBullet"/>
      </w:pPr>
      <w:r w:rsidRPr="00BE7FC5">
        <w:t>national, State or Territory and local health initiatives and priorities</w:t>
      </w:r>
    </w:p>
    <w:p w:rsidR="00000000" w:rsidRPr="00BE7FC5" w:rsidP="00BE7FC5">
      <w:pPr>
        <w:pStyle w:val="ListBullet"/>
      </w:pPr>
      <w:r w:rsidRPr="00BE7FC5">
        <w:t>the major organisations involve</w:t>
      </w:r>
      <w:r w:rsidRPr="00BE7FC5">
        <w:t>d in population health in Australia and their contributions</w:t>
      </w:r>
    </w:p>
    <w:p w:rsidR="00000000" w:rsidRPr="00BE7FC5" w:rsidP="00BE7FC5">
      <w:pPr>
        <w:pStyle w:val="ListBullet"/>
      </w:pPr>
      <w:r w:rsidRPr="00BE7FC5">
        <w:t>different models of work in the population health sector, including:</w:t>
      </w:r>
    </w:p>
    <w:p w:rsidR="00000000" w:rsidRPr="00BE7FC5" w:rsidP="00BE7FC5">
      <w:pPr>
        <w:pStyle w:val="ListBullet2"/>
      </w:pPr>
      <w:r w:rsidRPr="00BE7FC5">
        <w:t>early intervention and/or disease prevention</w:t>
      </w:r>
    </w:p>
    <w:p w:rsidR="00000000" w:rsidRPr="00BE7FC5" w:rsidP="00BE7FC5">
      <w:pPr>
        <w:pStyle w:val="ListBullet2"/>
      </w:pPr>
      <w:r w:rsidRPr="00BE7FC5">
        <w:t>community development and education</w:t>
      </w:r>
    </w:p>
    <w:p w:rsidR="00000000" w:rsidRPr="00BE7FC5" w:rsidP="00BE7FC5">
      <w:pPr>
        <w:pStyle w:val="ListBullet2"/>
      </w:pPr>
      <w:r w:rsidRPr="00BE7FC5">
        <w:t>health promotion</w:t>
      </w:r>
    </w:p>
    <w:p w:rsidR="00000000" w:rsidRPr="00BE7FC5" w:rsidP="00BE7FC5">
      <w:pPr>
        <w:pStyle w:val="ListBullet2"/>
      </w:pPr>
      <w:r w:rsidRPr="00BE7FC5">
        <w:t>working with individuals</w:t>
      </w:r>
    </w:p>
    <w:p w:rsidR="00000000" w:rsidRPr="00BE7FC5" w:rsidP="00BE7FC5">
      <w:pPr>
        <w:pStyle w:val="ListBullet2"/>
      </w:pPr>
      <w:r w:rsidRPr="00BE7FC5">
        <w:t>working with families and the community</w:t>
      </w:r>
    </w:p>
    <w:p w:rsidR="00000000" w:rsidRPr="00BE7FC5" w:rsidP="00BE7FC5">
      <w:pPr>
        <w:pStyle w:val="ListBullet2"/>
      </w:pPr>
      <w:r w:rsidRPr="00BE7FC5">
        <w:t>Aboriginal or Torres Strait Islander environmental health worker, community funded or government funded</w:t>
      </w:r>
    </w:p>
    <w:p w:rsidR="00000000" w:rsidRPr="00BE7FC5" w:rsidP="00BE7FC5">
      <w:pPr>
        <w:pStyle w:val="ListBullet"/>
      </w:pPr>
      <w:r w:rsidRPr="00BE7FC5">
        <w:t>multi-sectoral and multi-strategic approach to population health</w:t>
      </w:r>
    </w:p>
    <w:p w:rsidR="00000000" w:rsidRPr="00BE7FC5" w:rsidP="00BE7FC5">
      <w:pPr>
        <w:pStyle w:val="ListBullet"/>
      </w:pPr>
      <w:r w:rsidRPr="00BE7FC5">
        <w:t>basic Work, Health and Safety (WHS) principles</w:t>
      </w:r>
      <w:r w:rsidRPr="00BE7FC5">
        <w:t>.</w:t>
      </w:r>
    </w:p>
    <w:p w:rsidR="00000000" w:rsidRPr="00BE7FC5" w:rsidP="00BE7FC5">
      <w:pPr>
        <w:pStyle w:val="AllowPageBreak"/>
      </w:pPr>
    </w:p>
    <w:p w:rsidR="00000000" w:rsidRPr="00BE7FC5" w:rsidP="00BE7FC5">
      <w:pPr>
        <w:pStyle w:val="Heading1"/>
      </w:pPr>
      <w:bookmarkStart w:id="4" w:name="O_1165113"/>
      <w:bookmarkEnd w:id="4"/>
      <w:r w:rsidRPr="00BE7FC5">
        <w:t>Assessment Conditions</w:t>
      </w:r>
    </w:p>
    <w:p w:rsidR="00000000" w:rsidRPr="00BE7FC5" w:rsidP="00A322E3">
      <w:pPr>
        <w:pStyle w:val="BodyText"/>
      </w:pPr>
      <w:r w:rsidRPr="00BE7FC5">
        <w:t>Skills must be demonstrated in the workplace or in a simulated environment that reflects workplace conditions.</w:t>
      </w:r>
    </w:p>
    <w:p w:rsidR="00000000" w:rsidRPr="00BE7FC5" w:rsidP="00A322E3">
      <w:pPr>
        <w:pStyle w:val="BodyText"/>
      </w:pPr>
      <w:r w:rsidRPr="00BE7FC5">
        <w:t>Where simulation is used, it must reflect real working conditions by modelling industry operating cond</w:t>
      </w:r>
      <w:r w:rsidRPr="00BE7FC5">
        <w:t>itions and contingencies.</w:t>
      </w:r>
    </w:p>
    <w:p w:rsidR="00000000" w:rsidRPr="00BE7FC5" w:rsidP="00A322E3">
      <w:pPr>
        <w:pStyle w:val="BodyText"/>
      </w:pPr>
      <w:r w:rsidRPr="00BE7FC5">
        <w:t>Assessment must ensure access to:</w:t>
      </w:r>
    </w:p>
    <w:p w:rsidR="00000000" w:rsidRPr="00BE7FC5" w:rsidP="00BE7FC5">
      <w:pPr>
        <w:pStyle w:val="ListBullet"/>
      </w:pPr>
      <w:r w:rsidRPr="00BE7FC5">
        <w:t>suitable facilities, equipment and resources.</w:t>
      </w:r>
    </w:p>
    <w:p w:rsidR="00000000" w:rsidRPr="00BE7FC5" w:rsidP="00A322E3">
      <w:pPr>
        <w:pStyle w:val="BodyText"/>
      </w:pPr>
      <w:r w:rsidRPr="00BE7FC5">
        <w:t>Assessors must satisfy the Standards for Registered Training Organisations’ requirements for assessors.</w:t>
      </w:r>
    </w:p>
    <w:p w:rsidR="00000000" w:rsidRPr="00BE7FC5" w:rsidP="00BE7FC5">
      <w:pPr>
        <w:pStyle w:val="Heading1"/>
      </w:pPr>
      <w:bookmarkStart w:id="5" w:name="O_1165124"/>
      <w:bookmarkEnd w:id="5"/>
      <w:r w:rsidRPr="00BE7FC5">
        <w:t>Links</w:t>
      </w:r>
    </w:p>
    <w:p w:rsidR="00000000" w:rsidRPr="00BE7FC5" w:rsidP="00A322E3">
      <w:pPr>
        <w:pStyle w:val="BodyText"/>
      </w:pPr>
      <w:r w:rsidRPr="00BE7F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4498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7FC5" w:rsidP="00BE7FC5"/>
    <w:sectPr w:rsidSect="00BE7F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C5" w:rsidRPr="00A322E3" w:rsidP="00A32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E3" w:rsidP="00BE7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2E3" w:rsidP="00BE7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22E3" w:rsidP="00BE7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FC5" w:rsidRPr="00A322E3" w:rsidP="00A32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E3" w:rsidRPr="002D2AF8" w:rsidP="00BE7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HLTPOP029 Work in a population health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322E3" w:rsidP="00BE7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E04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41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7C6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FC5"/>
  </w:style>
  <w:style w:type="character" w:customStyle="1" w:styleId="Heading1Char">
    <w:name w:val="Heading 1 Char"/>
    <w:basedOn w:val="DefaultParagraphFont"/>
    <w:link w:val="Heading1"/>
    <w:rsid w:val="00BE7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F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7F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7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7F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7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FC5"/>
    <w:rPr>
      <w:b/>
      <w:spacing w:val="0"/>
    </w:rPr>
  </w:style>
  <w:style w:type="paragraph" w:customStyle="1" w:styleId="SuperTitle">
    <w:name w:val="SuperTitle"/>
    <w:basedOn w:val="Title"/>
    <w:rsid w:val="00BE7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F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FC5"/>
    <w:rPr>
      <w:i/>
    </w:rPr>
  </w:style>
  <w:style w:type="paragraph" w:styleId="Caption">
    <w:name w:val="caption"/>
    <w:basedOn w:val="BodyText"/>
    <w:next w:val="Normal"/>
    <w:qFormat/>
    <w:rsid w:val="00BE7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FC5"/>
  </w:style>
  <w:style w:type="paragraph" w:styleId="TableofFigures">
    <w:name w:val="table of figures"/>
    <w:basedOn w:val="Normal"/>
    <w:next w:val="Normal"/>
    <w:semiHidden/>
    <w:rsid w:val="00BE7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F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7FC5"/>
    <w:rPr>
      <w:rFonts w:ascii="Wingdings" w:hAnsi="Wingdings"/>
    </w:rPr>
  </w:style>
  <w:style w:type="paragraph" w:customStyle="1" w:styleId="TableHeading">
    <w:name w:val="Table Heading"/>
    <w:basedOn w:val="HeadingBase"/>
    <w:rsid w:val="00BE7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FC5"/>
    <w:rPr>
      <w:color w:val="0033CC"/>
      <w:u w:val="none"/>
    </w:rPr>
  </w:style>
  <w:style w:type="paragraph" w:customStyle="1" w:styleId="BodyTextRight">
    <w:name w:val="Body Text Right"/>
    <w:basedOn w:val="BodyText"/>
    <w:rsid w:val="00BE7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F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FC5"/>
    <w:rPr>
      <w:sz w:val="32"/>
    </w:rPr>
  </w:style>
  <w:style w:type="paragraph" w:customStyle="1" w:styleId="HeadingProcedure">
    <w:name w:val="Heading Procedure"/>
    <w:basedOn w:val="HeadingBase"/>
    <w:next w:val="Normal"/>
    <w:rsid w:val="00BE7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FC5"/>
    <w:pPr>
      <w:spacing w:before="60" w:after="60"/>
    </w:pPr>
  </w:style>
  <w:style w:type="paragraph" w:styleId="ListContinue">
    <w:name w:val="List Continue"/>
    <w:basedOn w:val="List"/>
    <w:rsid w:val="00BE7FC5"/>
    <w:pPr>
      <w:ind w:firstLine="0"/>
    </w:pPr>
  </w:style>
  <w:style w:type="paragraph" w:customStyle="1" w:styleId="ListNote">
    <w:name w:val="List Note"/>
    <w:basedOn w:val="List"/>
    <w:rsid w:val="00BE7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FC5"/>
    <w:rPr>
      <w:rFonts w:ascii="Courier New" w:hAnsi="Courier New"/>
    </w:rPr>
  </w:style>
  <w:style w:type="paragraph" w:customStyle="1" w:styleId="NoteBullet">
    <w:name w:val="Note Bullet"/>
    <w:basedOn w:val="Note"/>
    <w:rsid w:val="00BE7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F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7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FC5"/>
    <w:rPr>
      <w:b/>
      <w:smallCaps/>
    </w:rPr>
  </w:style>
  <w:style w:type="paragraph" w:customStyle="1" w:styleId="TableListNumber">
    <w:name w:val="Table List Number"/>
    <w:basedOn w:val="ListNumber"/>
    <w:rsid w:val="00BE7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FC5"/>
    <w:pPr>
      <w:numPr>
        <w:numId w:val="10"/>
      </w:numPr>
    </w:pPr>
  </w:style>
  <w:style w:type="paragraph" w:customStyle="1" w:styleId="ListAlpha2">
    <w:name w:val="List Alpha 2"/>
    <w:basedOn w:val="List2"/>
    <w:rsid w:val="00BE7FC5"/>
    <w:pPr>
      <w:numPr>
        <w:numId w:val="9"/>
      </w:numPr>
    </w:pPr>
  </w:style>
  <w:style w:type="paragraph" w:styleId="List2">
    <w:name w:val="List 2"/>
    <w:basedOn w:val="BodyText"/>
    <w:rsid w:val="00BE7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F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7F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7FC5"/>
    <w:pPr>
      <w:numPr>
        <w:numId w:val="5"/>
      </w:numPr>
    </w:pPr>
  </w:style>
  <w:style w:type="paragraph" w:styleId="ListContinue2">
    <w:name w:val="List Continue 2"/>
    <w:basedOn w:val="List2"/>
    <w:rsid w:val="00BE7FC5"/>
    <w:pPr>
      <w:ind w:firstLine="0"/>
    </w:pPr>
  </w:style>
  <w:style w:type="paragraph" w:styleId="ListContinue3">
    <w:name w:val="List Continue 3"/>
    <w:basedOn w:val="List3"/>
    <w:rsid w:val="00BE7FC5"/>
    <w:pPr>
      <w:ind w:left="1021" w:firstLine="0"/>
    </w:pPr>
  </w:style>
  <w:style w:type="paragraph" w:styleId="ListContinue4">
    <w:name w:val="List Continue 4"/>
    <w:basedOn w:val="List4"/>
    <w:rsid w:val="00BE7FC5"/>
    <w:pPr>
      <w:ind w:firstLine="0"/>
    </w:pPr>
  </w:style>
  <w:style w:type="paragraph" w:styleId="ListContinue5">
    <w:name w:val="List Continue 5"/>
    <w:basedOn w:val="List5"/>
    <w:rsid w:val="00BE7FC5"/>
    <w:pPr>
      <w:ind w:firstLine="0"/>
    </w:pPr>
  </w:style>
  <w:style w:type="paragraph" w:styleId="ListNumber3">
    <w:name w:val="List Number 3"/>
    <w:basedOn w:val="List3"/>
    <w:rsid w:val="00BE7FC5"/>
    <w:pPr>
      <w:numPr>
        <w:numId w:val="6"/>
      </w:numPr>
    </w:pPr>
  </w:style>
  <w:style w:type="paragraph" w:styleId="ListNumber4">
    <w:name w:val="List Number 4"/>
    <w:basedOn w:val="List4"/>
    <w:rsid w:val="00BE7FC5"/>
    <w:pPr>
      <w:numPr>
        <w:numId w:val="7"/>
      </w:numPr>
    </w:pPr>
  </w:style>
  <w:style w:type="paragraph" w:styleId="ListNumber5">
    <w:name w:val="List Number 5"/>
    <w:basedOn w:val="List5"/>
    <w:rsid w:val="00BE7FC5"/>
    <w:pPr>
      <w:numPr>
        <w:numId w:val="8"/>
      </w:numPr>
    </w:pPr>
  </w:style>
  <w:style w:type="paragraph" w:styleId="BlockText">
    <w:name w:val="Block Text"/>
    <w:basedOn w:val="Normal"/>
    <w:rsid w:val="00BE7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FC5"/>
    <w:rPr>
      <w:sz w:val="16"/>
      <w:vertAlign w:val="superscript"/>
    </w:rPr>
  </w:style>
  <w:style w:type="character" w:customStyle="1" w:styleId="Symbols">
    <w:name w:val="Symbols"/>
    <w:basedOn w:val="DefaultParagraphFont"/>
    <w:rsid w:val="00BE7FC5"/>
    <w:rPr>
      <w:rFonts w:ascii="Symbol" w:hAnsi="Symbol"/>
    </w:rPr>
  </w:style>
  <w:style w:type="character" w:customStyle="1" w:styleId="MenuOptions">
    <w:name w:val="Menu Options"/>
    <w:basedOn w:val="DefaultParagraphFont"/>
    <w:rsid w:val="00BE7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FC5"/>
    <w:rPr>
      <w:b/>
    </w:rPr>
  </w:style>
  <w:style w:type="character" w:customStyle="1" w:styleId="Underlined">
    <w:name w:val="Underlined"/>
    <w:basedOn w:val="DefaultParagraphFont"/>
    <w:rsid w:val="00BE7FC5"/>
    <w:rPr>
      <w:u w:val="single"/>
    </w:rPr>
  </w:style>
  <w:style w:type="paragraph" w:customStyle="1" w:styleId="TableBodyTextRight">
    <w:name w:val="Table Body Text Right"/>
    <w:basedOn w:val="TableBodyText"/>
    <w:rsid w:val="00BE7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FC5"/>
    <w:rPr>
      <w:sz w:val="18"/>
    </w:rPr>
  </w:style>
  <w:style w:type="paragraph" w:customStyle="1" w:styleId="BodySmallRight">
    <w:name w:val="Body Small Right"/>
    <w:basedOn w:val="BodyTextRight"/>
    <w:rsid w:val="00BE7FC5"/>
    <w:rPr>
      <w:sz w:val="18"/>
      <w:szCs w:val="18"/>
    </w:rPr>
  </w:style>
  <w:style w:type="paragraph" w:customStyle="1" w:styleId="MarginEdition">
    <w:name w:val="Margin Edition"/>
    <w:basedOn w:val="MarginNote"/>
    <w:rsid w:val="00BE7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FC5"/>
    <w:rPr>
      <w:sz w:val="2"/>
      <w:szCs w:val="2"/>
    </w:rPr>
  </w:style>
  <w:style w:type="character" w:customStyle="1" w:styleId="Small">
    <w:name w:val="Small"/>
    <w:basedOn w:val="DefaultParagraphFont"/>
    <w:rsid w:val="00BE7FC5"/>
    <w:rPr>
      <w:sz w:val="16"/>
    </w:rPr>
  </w:style>
  <w:style w:type="paragraph" w:customStyle="1" w:styleId="WideTable">
    <w:name w:val="Wide Table"/>
    <w:basedOn w:val="Normal"/>
    <w:rsid w:val="00BE7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FC5"/>
  </w:style>
  <w:style w:type="paragraph" w:styleId="Quote">
    <w:name w:val="Quote"/>
    <w:basedOn w:val="Heading1"/>
    <w:link w:val="QuoteChar"/>
    <w:qFormat/>
    <w:rsid w:val="00BE7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FC5"/>
    <w:pPr>
      <w:pageBreakBefore/>
    </w:pPr>
  </w:style>
  <w:style w:type="paragraph" w:customStyle="1" w:styleId="Border">
    <w:name w:val="Border"/>
    <w:basedOn w:val="Normal"/>
    <w:qFormat/>
    <w:rsid w:val="00BE7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FC5"/>
    <w:rPr>
      <w:u w:val="single"/>
    </w:rPr>
  </w:style>
  <w:style w:type="character" w:customStyle="1" w:styleId="BoldandItalics">
    <w:name w:val="Bold and Italics"/>
    <w:qFormat/>
    <w:rsid w:val="00BE7FC5"/>
    <w:rPr>
      <w:b/>
      <w:i/>
      <w:u w:val="none"/>
    </w:rPr>
  </w:style>
  <w:style w:type="paragraph" w:styleId="BalloonText">
    <w:name w:val="Balloon Text"/>
    <w:basedOn w:val="Normal"/>
    <w:link w:val="BalloonTextChar"/>
    <w:rsid w:val="00BE7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FC5"/>
    <w:pPr>
      <w:spacing w:before="0" w:after="0"/>
    </w:pPr>
  </w:style>
  <w:style w:type="paragraph" w:customStyle="1" w:styleId="BodyTextBold">
    <w:name w:val="Body Text Bold"/>
    <w:basedOn w:val="BodyText"/>
    <w:qFormat/>
    <w:rsid w:val="00BE7FC5"/>
    <w:rPr>
      <w:b/>
    </w:rPr>
  </w:style>
  <w:style w:type="character" w:styleId="Hyperlink">
    <w:name w:val="Hyperlink"/>
    <w:basedOn w:val="DefaultParagraphFont"/>
    <w:uiPriority w:val="99"/>
    <w:unhideWhenUsed/>
    <w:rsid w:val="00A32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2996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HLTPOP029 Work in a population health context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