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E8A" w:rsidP="00D91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HLTPOP026 Monitor and maintain sewage or effluent systems</w:t>
      </w:r>
      <w:r>
        <w:fldChar w:fldCharType="end"/>
      </w:r>
    </w:p>
    <w:p w:rsidR="00D91E8A" w:rsidP="00D91E8A">
      <w:pPr>
        <w:pStyle w:val="Version"/>
        <w:sectPr w:rsidSect="009F6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66EB" w:rsidP="009F66EB">
      <w:pPr>
        <w:pStyle w:val="SuperHeading"/>
      </w:pPr>
      <w:r w:rsidRPr="009F66EB">
        <w:t>HLTPOP026 Monitor and maintain sewage or effluent systems</w:t>
      </w:r>
    </w:p>
    <w:p w:rsidR="00000000" w:rsidRPr="009F66EB" w:rsidP="009F66EB">
      <w:pPr>
        <w:pStyle w:val="Heading1"/>
      </w:pPr>
      <w:bookmarkStart w:id="1" w:name="O_1165080"/>
      <w:bookmarkEnd w:id="1"/>
      <w:r w:rsidRPr="009F66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Comments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2.  HLTPOP026 Monitor and maintain sewage or effluent systems supersedes and is equivalent to Release 1. HLTPOP026 Monitor and maintain sewage or effluent systems.</w:t>
            </w:r>
          </w:p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Minor changes. M</w:t>
            </w:r>
            <w:r w:rsidRPr="009F66EB">
              <w:t>apping Info Table Notes added for superseded unit HLTPOP002 Monitor and maintain sewage systems.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1. HLTPOP026 Monitor and maintain sewage or effluent systems supersedes and is equivalent to HLTPOP002 Monitor and maintain sewage systems.</w:t>
            </w:r>
          </w:p>
        </w:tc>
      </w:tr>
    </w:tbl>
    <w:p w:rsidR="00000000" w:rsidRPr="009F66EB" w:rsidP="009F66EB">
      <w:pPr>
        <w:pStyle w:val="BodyText"/>
      </w:pPr>
    </w:p>
    <w:p w:rsidR="00000000" w:rsidRPr="009F66EB" w:rsidP="009F66EB">
      <w:pPr>
        <w:pStyle w:val="AllowPageBreak"/>
      </w:pPr>
    </w:p>
    <w:p w:rsidR="00000000" w:rsidRPr="009F66EB" w:rsidP="009F66EB">
      <w:pPr>
        <w:pStyle w:val="Heading1"/>
      </w:pPr>
      <w:bookmarkStart w:id="2" w:name="O_1165079"/>
      <w:bookmarkEnd w:id="2"/>
      <w:r w:rsidRPr="009F66EB">
        <w:t>Application</w:t>
      </w:r>
    </w:p>
    <w:p w:rsidR="00000000" w:rsidRPr="009F66EB" w:rsidP="00D91E8A">
      <w:pPr>
        <w:pStyle w:val="BodyText"/>
      </w:pPr>
      <w:r w:rsidRPr="009F66EB">
        <w:t>This unit describes the skills and knowledge required to identify the basic way in which sewage systems function and the strategies needed to maintain sewage systems in the community.</w:t>
      </w:r>
    </w:p>
    <w:p w:rsidR="00000000" w:rsidRPr="009F66EB" w:rsidP="00D91E8A">
      <w:pPr>
        <w:pStyle w:val="BodyText"/>
      </w:pPr>
      <w:r w:rsidRPr="009F66EB">
        <w:t>This unit applies to work in a public health context and workers at this level will work under supervision and within defined guidelines.</w:t>
      </w:r>
    </w:p>
    <w:p w:rsidR="00000000" w:rsidRPr="009F66EB" w:rsidP="00D91E8A">
      <w:pPr>
        <w:pStyle w:val="BodyText"/>
      </w:pPr>
      <w:r w:rsidRPr="009F66EB">
        <w:t>Plumbing work must only be performed by a person authorised by an exemption registration or licence granted by the rel</w:t>
      </w:r>
      <w:r w:rsidRPr="009F66EB">
        <w:t>evant State or Territory regulatory authority under legislation.</w:t>
      </w:r>
    </w:p>
    <w:p w:rsidR="00000000" w:rsidRPr="009F66EB" w:rsidP="00D91E8A">
      <w:pPr>
        <w:pStyle w:val="BodyText"/>
      </w:pPr>
      <w:r w:rsidRPr="009F66EB">
        <w:t>The skills in this unit must be applied in accordance with Commonwealth and State or Territory legislation, Australian standards and industry codes of practice.</w:t>
      </w:r>
    </w:p>
    <w:p w:rsidR="00000000" w:rsidRPr="009F66EB" w:rsidP="009F66EB">
      <w:pPr>
        <w:pStyle w:val="Heading1"/>
      </w:pPr>
      <w:bookmarkStart w:id="3" w:name="O_1165078"/>
      <w:bookmarkEnd w:id="3"/>
      <w:r w:rsidRPr="009F66EB">
        <w:t>Elements an</w:t>
      </w:r>
      <w:r w:rsidRPr="009F66EB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rPr>
                <w:rStyle w:val="SpecialBold"/>
              </w:rPr>
              <w:t>PERFORMANCE</w:t>
            </w:r>
            <w:r w:rsidRPr="009F66EB">
              <w:t xml:space="preserve"> </w:t>
            </w:r>
            <w:r w:rsidRPr="009F66EB">
              <w:rPr>
                <w:rStyle w:val="SpecialBold"/>
              </w:rPr>
              <w:t>CRITERIA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List"/>
              <w:rPr>
                <w:lang w:val="en-NZ"/>
              </w:rPr>
            </w:pPr>
            <w:r w:rsidRPr="009F66EB">
              <w:t>1. Identify potential problems and faults with sewage systems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List"/>
            </w:pPr>
            <w:r w:rsidRPr="009F66EB">
              <w:t>1.1. Identify components of the sewage system in the community.</w:t>
            </w:r>
          </w:p>
          <w:p w:rsidR="00000000" w:rsidP="009F66EB">
            <w:pPr>
              <w:pStyle w:val="List"/>
              <w:rPr>
                <w:lang w:val="en-NZ"/>
              </w:rPr>
            </w:pPr>
            <w:r w:rsidRPr="009F66EB">
              <w:t>1.2. Check for signs of contamination and identify potential problems that can occur with sewage systems and hou</w:t>
            </w:r>
            <w:r w:rsidRPr="009F66EB">
              <w:t>sehold plumbing and fixtures, including septic tanks.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List"/>
              <w:rPr>
                <w:lang w:val="en-NZ"/>
              </w:rPr>
            </w:pPr>
            <w:r w:rsidRPr="009F66EB">
              <w:t xml:space="preserve">2. Monitor and maintain </w:t>
            </w:r>
            <w:r w:rsidRPr="009F66EB">
              <w:t>the sewage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List"/>
            </w:pPr>
            <w:r w:rsidRPr="009F66EB">
              <w:t xml:space="preserve">2.1. Identify strategies required to prevent the transmission of </w:t>
            </w:r>
            <w:r w:rsidRPr="009F66EB">
              <w:t>disease through sewage disposal.</w:t>
            </w:r>
          </w:p>
          <w:p w:rsidR="00000000" w:rsidRPr="009F66EB" w:rsidP="009F66EB">
            <w:pPr>
              <w:pStyle w:val="List"/>
            </w:pPr>
            <w:r w:rsidRPr="009F66EB">
              <w:t xml:space="preserve">2.2. Assist in the development and implementation of a work </w:t>
            </w:r>
            <w:r w:rsidRPr="009F66EB">
              <w:t>plan in relation to the identified sewage system strategies, including the use of personal protective equipment (PPE) and in accordance with workplace health and safety (WHS) standards.</w:t>
            </w:r>
          </w:p>
          <w:p w:rsidR="00000000" w:rsidRPr="009F66EB" w:rsidP="009F66EB">
            <w:pPr>
              <w:pStyle w:val="List"/>
            </w:pPr>
            <w:r w:rsidRPr="009F66EB">
              <w:t>2.3. Report any difficulties or problems to supervisor in accordance w</w:t>
            </w:r>
            <w:r w:rsidRPr="009F66EB">
              <w:t>ith organisational policy and procedures.</w:t>
            </w:r>
          </w:p>
          <w:p w:rsidR="00000000" w:rsidRPr="009F66EB" w:rsidP="009F66EB">
            <w:pPr>
              <w:pStyle w:val="List"/>
            </w:pPr>
            <w:r w:rsidRPr="009F66EB">
              <w:t>2.4. Refer any problems or difficulties that are outside own area of responsibility or expertise to appropriate people or agencies.</w:t>
            </w:r>
          </w:p>
        </w:tc>
      </w:tr>
    </w:tbl>
    <w:p w:rsidR="00000000" w:rsidRPr="009F66EB" w:rsidP="009F66EB">
      <w:pPr>
        <w:pStyle w:val="BodyText"/>
      </w:pPr>
    </w:p>
    <w:p w:rsidR="00000000" w:rsidRPr="009F66EB" w:rsidP="009F66EB">
      <w:pPr>
        <w:pStyle w:val="AllowPageBreak"/>
      </w:pPr>
    </w:p>
    <w:p w:rsidR="00000000" w:rsidRPr="009F66EB" w:rsidP="009F66EB">
      <w:pPr>
        <w:pStyle w:val="Heading1"/>
      </w:pPr>
      <w:bookmarkStart w:id="4" w:name="O_1165077"/>
      <w:bookmarkEnd w:id="4"/>
      <w:r w:rsidRPr="009F66EB">
        <w:t>Foundation Skills</w:t>
      </w:r>
    </w:p>
    <w:p w:rsidR="00000000" w:rsidRPr="009F66EB" w:rsidP="00D91E8A">
      <w:pPr>
        <w:pStyle w:val="BodyText"/>
      </w:pPr>
      <w:r w:rsidRPr="009F66EB">
        <w:t>Foundation skills essential to performance are explicit in the performance criteria of this unit of competency.</w:t>
      </w:r>
    </w:p>
    <w:p w:rsidR="00000000" w:rsidRPr="009F66EB" w:rsidP="009F66EB">
      <w:pPr>
        <w:pStyle w:val="Heading1"/>
      </w:pPr>
      <w:bookmarkStart w:id="5" w:name="O_1165076"/>
      <w:bookmarkEnd w:id="5"/>
      <w:r w:rsidRPr="009F66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Comments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2.  HLTPOP026 Monitor and maintain sewage or effluent systems S</w:t>
            </w:r>
            <w:r w:rsidRPr="009F66EB">
              <w:t>upersedes and is equivalent to Release 1. HLTPOP026 Monitor and maintain sewage or effluent systems.</w:t>
            </w:r>
          </w:p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Minor changes. Mapping Info Table Notes added for superseded unit HLTPOP002 Monitor and maintain sewage systems.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1. HLTPOP026 Monitor a</w:t>
            </w:r>
            <w:r w:rsidRPr="009F66EB">
              <w:t>nd maintain sewage or effluent systems Supersedes and is equivalent to HLTPOP002 Monitor and maintain sewage systems.</w:t>
            </w:r>
          </w:p>
        </w:tc>
      </w:tr>
    </w:tbl>
    <w:p w:rsidR="00000000" w:rsidRPr="009F66EB" w:rsidP="009F66EB">
      <w:pPr>
        <w:pStyle w:val="BodyText"/>
      </w:pPr>
    </w:p>
    <w:p w:rsidR="00000000" w:rsidRPr="009F66EB" w:rsidP="009F66EB">
      <w:pPr>
        <w:pStyle w:val="AllowPageBreak"/>
      </w:pPr>
    </w:p>
    <w:p w:rsidR="00000000" w:rsidRPr="009F66EB" w:rsidP="009F66EB">
      <w:pPr>
        <w:pStyle w:val="Heading1"/>
      </w:pPr>
      <w:bookmarkStart w:id="6" w:name="O_1165081"/>
      <w:bookmarkEnd w:id="6"/>
      <w:r w:rsidRPr="009F66EB">
        <w:t>Links</w:t>
      </w:r>
    </w:p>
    <w:p w:rsidR="00000000" w:rsidRPr="009F66EB" w:rsidP="00D91E8A">
      <w:pPr>
        <w:pStyle w:val="BodyText"/>
      </w:pPr>
      <w:r w:rsidRPr="009F66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929D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F66EB" w:rsidP="00D91E8A">
      <w:pPr>
        <w:pStyle w:val="BodyText"/>
        <w:sectPr w:rsidSect="009F66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66EB" w:rsidP="009F66EB">
      <w:pPr>
        <w:pStyle w:val="SuperHeading"/>
      </w:pPr>
      <w:r w:rsidRPr="009F66EB">
        <w:t>Assessment Requirements for HLTPOP026 Monitor and maintain sewa</w:t>
      </w:r>
      <w:r w:rsidRPr="009F66EB">
        <w:t>ge or effluent systems</w:t>
      </w:r>
    </w:p>
    <w:p w:rsidR="00000000" w:rsidRPr="009F66EB" w:rsidP="009F66EB">
      <w:pPr>
        <w:pStyle w:val="Heading1"/>
      </w:pPr>
      <w:bookmarkStart w:id="7" w:name="O_1165074"/>
      <w:bookmarkEnd w:id="7"/>
      <w:r w:rsidRPr="009F66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Comments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 xml:space="preserve">Release 2.  HLTPOP026 Monitor and maintain sewage or effluent systems supersedes and is equivalent to Release 1. HLTPOP026 Monitor and maintain sewage or effluent </w:t>
            </w:r>
            <w:r w:rsidRPr="009F66EB">
              <w:t>systems.</w:t>
            </w:r>
          </w:p>
          <w:p w:rsidR="00000000" w:rsidP="009F66EB">
            <w:pPr>
              <w:pStyle w:val="BodyText"/>
              <w:rPr>
                <w:lang w:val="en-NZ"/>
              </w:rPr>
            </w:pPr>
            <w:r w:rsidRPr="009F66EB">
              <w:t>Minor changes. Mapping Info Table Notes added for superseded unit HLTPOP002 Monitor and maintain sewage systems.</w:t>
            </w:r>
          </w:p>
        </w:tc>
      </w:tr>
      <w:tr w:rsidTr="009F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EB" w:rsidP="009F66EB">
            <w:pPr>
              <w:pStyle w:val="BodyText"/>
            </w:pPr>
            <w:r w:rsidRPr="009F66EB">
              <w:t>Release 1. HLTPOP026 Monitor and maintain sewage or effluent systems supersedes and is equivalent to HLTPOP002 Monitor and</w:t>
            </w:r>
            <w:r w:rsidRPr="009F66EB">
              <w:t xml:space="preserve"> maintain sewage systems.</w:t>
            </w:r>
          </w:p>
        </w:tc>
      </w:tr>
    </w:tbl>
    <w:p w:rsidR="00000000" w:rsidRPr="009F66EB" w:rsidP="009F66EB">
      <w:pPr>
        <w:pStyle w:val="BodyText"/>
      </w:pPr>
    </w:p>
    <w:p w:rsidR="00000000" w:rsidRPr="009F66EB" w:rsidP="009F66EB">
      <w:pPr>
        <w:pStyle w:val="AllowPageBreak"/>
      </w:pPr>
    </w:p>
    <w:p w:rsidR="00000000" w:rsidRPr="009F66EB" w:rsidP="009F66EB">
      <w:pPr>
        <w:pStyle w:val="Heading1"/>
      </w:pPr>
      <w:bookmarkStart w:id="8" w:name="O_1165073"/>
      <w:bookmarkEnd w:id="8"/>
      <w:r w:rsidRPr="009F66EB">
        <w:t>Performance Evidence</w:t>
      </w:r>
    </w:p>
    <w:p w:rsidR="00000000" w:rsidRPr="009F66EB" w:rsidP="00D91E8A">
      <w:pPr>
        <w:pStyle w:val="BodyText"/>
      </w:pPr>
      <w:r w:rsidRPr="009F66EB">
        <w:t>Evidence of the ability to complete tasks outlined in elements and performance criteria of this unit in the context of the job role, and:</w:t>
      </w:r>
    </w:p>
    <w:p w:rsidR="00000000" w:rsidRPr="009F66EB" w:rsidP="009F66EB">
      <w:pPr>
        <w:pStyle w:val="ListBullet"/>
      </w:pPr>
      <w:r w:rsidRPr="009F66EB">
        <w:t>identify at least two potential health risks or p</w:t>
      </w:r>
      <w:r w:rsidRPr="009F66EB">
        <w:t>roblems associated with sewage systems and develop and implement a work plan that includes strategies to deal with each issue.</w:t>
      </w:r>
    </w:p>
    <w:p w:rsidR="00000000" w:rsidRPr="009F66EB" w:rsidP="009F66EB">
      <w:pPr>
        <w:pStyle w:val="AllowPageBreak"/>
      </w:pPr>
    </w:p>
    <w:p w:rsidR="00000000" w:rsidRPr="009F66EB" w:rsidP="009F66EB">
      <w:pPr>
        <w:pStyle w:val="Heading1"/>
      </w:pPr>
      <w:bookmarkStart w:id="9" w:name="O_1165072"/>
      <w:bookmarkEnd w:id="9"/>
      <w:r w:rsidRPr="009F66EB">
        <w:t>Knowledge Evidence</w:t>
      </w:r>
    </w:p>
    <w:p w:rsidR="00000000" w:rsidRPr="009F66EB" w:rsidP="00D91E8A">
      <w:pPr>
        <w:pStyle w:val="BodyText"/>
      </w:pPr>
      <w:r w:rsidRPr="009F66EB">
        <w:t>Demonstrated knowledge required to complete the tasks outlined in elements and performance criteria of this unit:</w:t>
      </w:r>
    </w:p>
    <w:p w:rsidR="00000000" w:rsidRPr="009F66EB" w:rsidP="009F66EB">
      <w:pPr>
        <w:pStyle w:val="ListBullet"/>
      </w:pPr>
      <w:r w:rsidRPr="009F66EB">
        <w:t>organisational requirements relating to sewage systems work, including:</w:t>
      </w:r>
    </w:p>
    <w:p w:rsidR="00000000" w:rsidRPr="009F66EB" w:rsidP="009F66EB">
      <w:pPr>
        <w:pStyle w:val="ListBullet2"/>
      </w:pPr>
      <w:r w:rsidRPr="009F66EB">
        <w:t>infection control</w:t>
      </w:r>
    </w:p>
    <w:p w:rsidR="00000000" w:rsidRPr="009F66EB" w:rsidP="009F66EB">
      <w:pPr>
        <w:pStyle w:val="ListBullet2"/>
      </w:pPr>
      <w:r w:rsidRPr="009F66EB">
        <w:t>manual handling</w:t>
      </w:r>
    </w:p>
    <w:p w:rsidR="00000000" w:rsidRPr="009F66EB" w:rsidP="009F66EB">
      <w:pPr>
        <w:pStyle w:val="ListBullet2"/>
      </w:pPr>
      <w:r w:rsidRPr="009F66EB">
        <w:t>workplace health and safety standa</w:t>
      </w:r>
      <w:r w:rsidRPr="009F66EB">
        <w:t>rds (WHS)</w:t>
      </w:r>
    </w:p>
    <w:p w:rsidR="00000000" w:rsidRPr="009F66EB" w:rsidP="009F66EB">
      <w:pPr>
        <w:pStyle w:val="ListBullet2"/>
      </w:pPr>
      <w:r w:rsidRPr="009F66EB">
        <w:t>personal protective equipment use</w:t>
      </w:r>
    </w:p>
    <w:p w:rsidR="00000000" w:rsidRPr="009F66EB" w:rsidP="009F66EB">
      <w:pPr>
        <w:pStyle w:val="ListBullet2"/>
      </w:pPr>
      <w:r w:rsidRPr="009F66EB">
        <w:t>reporting requirements</w:t>
      </w:r>
    </w:p>
    <w:p w:rsidR="00000000" w:rsidRPr="009F66EB" w:rsidP="009F66EB">
      <w:pPr>
        <w:pStyle w:val="ListBullet2"/>
      </w:pPr>
      <w:r w:rsidRPr="009F66EB">
        <w:t>scope of own role and responsibilities</w:t>
      </w:r>
    </w:p>
    <w:p w:rsidR="00000000" w:rsidRPr="009F66EB" w:rsidP="009F66EB">
      <w:pPr>
        <w:pStyle w:val="ListBullet2"/>
      </w:pPr>
      <w:r w:rsidRPr="009F66EB">
        <w:t>approvals required and process of obtaining approvals</w:t>
      </w:r>
    </w:p>
    <w:p w:rsidR="00000000" w:rsidRPr="009F66EB" w:rsidP="009F66EB">
      <w:pPr>
        <w:pStyle w:val="ListBullet2"/>
      </w:pPr>
      <w:r w:rsidRPr="009F66EB">
        <w:t>referral agencies and procedures</w:t>
      </w:r>
    </w:p>
    <w:p w:rsidR="00000000" w:rsidRPr="009F66EB" w:rsidP="009F66EB">
      <w:pPr>
        <w:pStyle w:val="ListBullet"/>
      </w:pPr>
      <w:r w:rsidRPr="009F66EB">
        <w:t>household plumbing design and fixtures and the way in which effluent and sullage waste leaves the house or building to go out to the waste disposal system</w:t>
      </w:r>
    </w:p>
    <w:p w:rsidR="00000000" w:rsidRPr="009F66EB" w:rsidP="009F66EB">
      <w:pPr>
        <w:pStyle w:val="ListBullet"/>
      </w:pPr>
      <w:r w:rsidRPr="009F66EB">
        <w:t>water and sewage plans for the community, if available</w:t>
      </w:r>
    </w:p>
    <w:p w:rsidR="00000000" w:rsidRPr="009F66EB" w:rsidP="009F66EB">
      <w:pPr>
        <w:pStyle w:val="ListBullet"/>
      </w:pPr>
      <w:r w:rsidRPr="009F66EB">
        <w:t>type, design and components of the sewage syst</w:t>
      </w:r>
      <w:r w:rsidRPr="009F66EB">
        <w:t>em in the community and how they function, including:</w:t>
      </w:r>
    </w:p>
    <w:p w:rsidR="00000000" w:rsidRPr="009F66EB" w:rsidP="009F66EB">
      <w:pPr>
        <w:pStyle w:val="ListBullet2"/>
      </w:pPr>
      <w:r w:rsidRPr="009F66EB">
        <w:t>septic or onsite systems</w:t>
      </w:r>
    </w:p>
    <w:p w:rsidR="00000000" w:rsidRPr="009F66EB" w:rsidP="009F66EB">
      <w:pPr>
        <w:pStyle w:val="ListBullet2"/>
      </w:pPr>
      <w:r w:rsidRPr="009F66EB">
        <w:t>sewage or effluent systems</w:t>
      </w:r>
    </w:p>
    <w:p w:rsidR="00000000" w:rsidRPr="009F66EB" w:rsidP="009F66EB">
      <w:pPr>
        <w:pStyle w:val="ListBullet"/>
      </w:pPr>
      <w:r w:rsidRPr="009F66EB">
        <w:t>what sewage is and the difference between effluent black water and sullage grey water</w:t>
      </w:r>
    </w:p>
    <w:p w:rsidR="00000000" w:rsidRPr="009F66EB" w:rsidP="009F66EB">
      <w:pPr>
        <w:pStyle w:val="ListBullet"/>
      </w:pPr>
      <w:r w:rsidRPr="009F66EB">
        <w:t>causes of common faults, risks and problems associated with ho</w:t>
      </w:r>
      <w:r w:rsidRPr="009F66EB">
        <w:t>usehold plumbing and sewage systems and how to identify and prevent them</w:t>
      </w:r>
    </w:p>
    <w:p w:rsidR="00000000" w:rsidRPr="009F66EB" w:rsidP="009F66EB">
      <w:pPr>
        <w:pStyle w:val="ListBullet"/>
      </w:pPr>
      <w:r w:rsidRPr="009F66EB">
        <w:t>sewage disposal strategies for communities or outstations without a sewage disposal system including:</w:t>
      </w:r>
    </w:p>
    <w:p w:rsidR="00000000" w:rsidRPr="009F66EB" w:rsidP="009F66EB">
      <w:pPr>
        <w:pStyle w:val="ListBullet2"/>
      </w:pPr>
      <w:r w:rsidRPr="009F66EB">
        <w:t>onsite or septic system</w:t>
      </w:r>
    </w:p>
    <w:p w:rsidR="00000000" w:rsidRPr="009F66EB" w:rsidP="009F66EB">
      <w:pPr>
        <w:pStyle w:val="ListBullet2"/>
      </w:pPr>
      <w:r w:rsidRPr="009F66EB">
        <w:t>sewage or effluent system</w:t>
      </w:r>
    </w:p>
    <w:p w:rsidR="00000000" w:rsidRPr="009F66EB" w:rsidP="009F66EB">
      <w:pPr>
        <w:pStyle w:val="ListBullet2"/>
      </w:pPr>
      <w:r w:rsidRPr="009F66EB">
        <w:t>grease trap and soakage pit</w:t>
      </w:r>
    </w:p>
    <w:p w:rsidR="00000000" w:rsidRPr="009F66EB" w:rsidP="009F66EB">
      <w:pPr>
        <w:pStyle w:val="ListBullet2"/>
      </w:pPr>
      <w:r w:rsidRPr="009F66EB">
        <w:t>pi</w:t>
      </w:r>
      <w:r w:rsidRPr="009F66EB">
        <w:t>t toilets and shallow trench latrines.</w:t>
      </w:r>
    </w:p>
    <w:p w:rsidR="00000000" w:rsidRPr="009F66EB" w:rsidP="009F66EB">
      <w:pPr>
        <w:pStyle w:val="AllowPageBreak"/>
      </w:pPr>
    </w:p>
    <w:p w:rsidR="00000000" w:rsidRPr="009F66EB" w:rsidP="009F66EB">
      <w:pPr>
        <w:pStyle w:val="Heading1"/>
      </w:pPr>
      <w:bookmarkStart w:id="10" w:name="O_1165071"/>
      <w:bookmarkEnd w:id="10"/>
      <w:r w:rsidRPr="009F66EB">
        <w:t>Assessment Conditions</w:t>
      </w:r>
    </w:p>
    <w:p w:rsidR="00000000" w:rsidRPr="009F66EB" w:rsidP="00D91E8A">
      <w:pPr>
        <w:pStyle w:val="BodyText"/>
      </w:pPr>
      <w:r w:rsidRPr="009F66EB">
        <w:t>Skills must be demonstrated in the workplace or in a simulated environment that reflects workplace conditions.</w:t>
      </w:r>
    </w:p>
    <w:p w:rsidR="00000000" w:rsidRPr="009F66EB" w:rsidP="00D91E8A">
      <w:pPr>
        <w:pStyle w:val="BodyText"/>
      </w:pPr>
      <w:r w:rsidRPr="009F66EB">
        <w:t>Where simulation is used, it must reflect real working conditions by modelling industry operating conditions and contingencies.</w:t>
      </w:r>
    </w:p>
    <w:p w:rsidR="00000000" w:rsidRPr="009F66EB" w:rsidP="00D91E8A">
      <w:pPr>
        <w:pStyle w:val="BodyText"/>
      </w:pPr>
      <w:r w:rsidRPr="009F66EB">
        <w:t>Assessment must ensure access to:</w:t>
      </w:r>
    </w:p>
    <w:p w:rsidR="00000000" w:rsidRPr="009F66EB" w:rsidP="009F66EB">
      <w:pPr>
        <w:pStyle w:val="ListBullet"/>
      </w:pPr>
      <w:r w:rsidRPr="009F66EB">
        <w:t>use of suitable facilities, equipment and resources, including:</w:t>
      </w:r>
    </w:p>
    <w:p w:rsidR="00000000" w:rsidRPr="009F66EB" w:rsidP="009F66EB">
      <w:pPr>
        <w:pStyle w:val="ListBullet2"/>
      </w:pPr>
      <w:r w:rsidRPr="009F66EB">
        <w:t>work health and safety (WHS)</w:t>
      </w:r>
      <w:r w:rsidRPr="009F66EB">
        <w:t xml:space="preserve"> standards</w:t>
      </w:r>
    </w:p>
    <w:p w:rsidR="00000000" w:rsidRPr="009F66EB" w:rsidP="009F66EB">
      <w:pPr>
        <w:pStyle w:val="ListBullet2"/>
      </w:pPr>
      <w:r w:rsidRPr="009F66EB">
        <w:t>personal protective equipment (PPE)</w:t>
      </w:r>
    </w:p>
    <w:p w:rsidR="00000000" w:rsidRPr="009F66EB" w:rsidP="009F66EB">
      <w:pPr>
        <w:pStyle w:val="ListBullet2"/>
      </w:pPr>
      <w:r w:rsidRPr="009F66EB">
        <w:t>organisational guidelines and procedures.</w:t>
      </w:r>
    </w:p>
    <w:p w:rsidR="00000000" w:rsidRPr="009F66EB" w:rsidP="00D91E8A">
      <w:pPr>
        <w:pStyle w:val="BodyText"/>
      </w:pPr>
      <w:r w:rsidRPr="009F66EB">
        <w:t>Assessors must satisfy the Standards for Registered Training Organisations’ requirements for assessors.</w:t>
      </w:r>
    </w:p>
    <w:p w:rsidR="00000000" w:rsidRPr="009F66EB" w:rsidP="009F66EB">
      <w:pPr>
        <w:pStyle w:val="Heading1"/>
      </w:pPr>
      <w:bookmarkStart w:id="11" w:name="O_1165082"/>
      <w:bookmarkEnd w:id="11"/>
      <w:r w:rsidRPr="009F66EB">
        <w:t>Links</w:t>
      </w:r>
    </w:p>
    <w:p w:rsidR="00000000" w:rsidRPr="009F66EB" w:rsidP="00D91E8A">
      <w:pPr>
        <w:pStyle w:val="BodyText"/>
      </w:pPr>
      <w:r w:rsidRPr="009F66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929D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F66EB" w:rsidP="009F66EB"/>
    <w:sectPr w:rsidSect="009F66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EB" w:rsidRPr="00D91E8A" w:rsidP="00D91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8A" w:rsidP="009F6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E8A" w:rsidP="009F6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91E8A" w:rsidP="009F66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EB" w:rsidP="009F6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E8A">
      <w:t>Approved</w:t>
    </w:r>
    <w:r w:rsidR="00D91E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E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E8A">
      <w:rPr>
        <w:noProof/>
      </w:rPr>
      <w:t>4</w:t>
    </w:r>
    <w:r>
      <w:rPr>
        <w:noProof/>
      </w:rPr>
      <w:fldChar w:fldCharType="end"/>
    </w:r>
  </w:p>
  <w:p w:rsidR="009F66EB" w:rsidP="009F6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E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E8A">
      <w:t>HumanAbility</w:t>
    </w:r>
    <w:r w:rsidR="00D91E8A">
      <w:fldChar w:fldCharType="end"/>
    </w:r>
  </w:p>
  <w:p w:rsidR="009F66EB" w:rsidP="009F6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6EB" w:rsidRPr="00D91E8A" w:rsidP="00D91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8A" w:rsidRPr="002D2AF8" w:rsidP="009F6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HLTPOP026 Monitor and maintain sewage or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1E8A" w:rsidP="009F66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EB" w:rsidRPr="002D2AF8" w:rsidP="009F6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E8A">
      <w:t>HLTPOP026 Monitor and maintain sewage or effluent systems</w:t>
    </w:r>
    <w:r w:rsidR="00D91E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E8A">
      <w:rPr>
        <w:noProof/>
      </w:rPr>
      <w:t>2 March 2025</w:t>
    </w:r>
    <w:r>
      <w:fldChar w:fldCharType="end"/>
    </w:r>
  </w:p>
  <w:p w:rsidR="009F66EB" w:rsidP="009F6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201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10D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403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6EB"/>
  </w:style>
  <w:style w:type="character" w:customStyle="1" w:styleId="Heading1Char">
    <w:name w:val="Heading 1 Char"/>
    <w:basedOn w:val="DefaultParagraphFont"/>
    <w:link w:val="Heading1"/>
    <w:rsid w:val="009F6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6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66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6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6EB"/>
    <w:rPr>
      <w:b/>
      <w:spacing w:val="0"/>
    </w:rPr>
  </w:style>
  <w:style w:type="paragraph" w:styleId="ListBullet2">
    <w:name w:val="List Bullet 2"/>
    <w:basedOn w:val="List2"/>
    <w:rsid w:val="009F66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66EB"/>
    <w:rPr>
      <w:i/>
    </w:rPr>
  </w:style>
  <w:style w:type="paragraph" w:customStyle="1" w:styleId="SuperHeading">
    <w:name w:val="SuperHeading"/>
    <w:basedOn w:val="Normal"/>
    <w:rsid w:val="009F6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6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6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6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6EB"/>
  </w:style>
  <w:style w:type="paragraph" w:styleId="TableofFigures">
    <w:name w:val="table of figures"/>
    <w:basedOn w:val="Normal"/>
    <w:next w:val="Normal"/>
    <w:semiHidden/>
    <w:rsid w:val="009F6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6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66EB"/>
    <w:rPr>
      <w:rFonts w:ascii="Wingdings" w:hAnsi="Wingdings"/>
    </w:rPr>
  </w:style>
  <w:style w:type="paragraph" w:customStyle="1" w:styleId="TableHeading">
    <w:name w:val="Table Heading"/>
    <w:basedOn w:val="HeadingBase"/>
    <w:rsid w:val="009F6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6EB"/>
    <w:rPr>
      <w:color w:val="0033CC"/>
      <w:u w:val="none"/>
    </w:rPr>
  </w:style>
  <w:style w:type="paragraph" w:customStyle="1" w:styleId="BodyTextRight">
    <w:name w:val="Body Text Right"/>
    <w:basedOn w:val="BodyText"/>
    <w:rsid w:val="009F6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6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6EB"/>
    <w:rPr>
      <w:sz w:val="32"/>
    </w:rPr>
  </w:style>
  <w:style w:type="paragraph" w:customStyle="1" w:styleId="HeadingProcedure">
    <w:name w:val="Heading Procedure"/>
    <w:basedOn w:val="HeadingBase"/>
    <w:next w:val="Normal"/>
    <w:rsid w:val="009F6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6EB"/>
    <w:pPr>
      <w:spacing w:before="60" w:after="60"/>
    </w:pPr>
  </w:style>
  <w:style w:type="paragraph" w:styleId="ListContinue">
    <w:name w:val="List Continue"/>
    <w:basedOn w:val="List"/>
    <w:rsid w:val="009F66EB"/>
    <w:pPr>
      <w:ind w:firstLine="0"/>
    </w:pPr>
  </w:style>
  <w:style w:type="paragraph" w:customStyle="1" w:styleId="ListNote">
    <w:name w:val="List Note"/>
    <w:basedOn w:val="List"/>
    <w:rsid w:val="009F6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6EB"/>
    <w:rPr>
      <w:rFonts w:ascii="Courier New" w:hAnsi="Courier New"/>
    </w:rPr>
  </w:style>
  <w:style w:type="paragraph" w:customStyle="1" w:styleId="NoteBullet">
    <w:name w:val="Note Bullet"/>
    <w:basedOn w:val="Note"/>
    <w:rsid w:val="009F6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6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6EB"/>
    <w:rPr>
      <w:b/>
      <w:smallCaps/>
    </w:rPr>
  </w:style>
  <w:style w:type="paragraph" w:customStyle="1" w:styleId="TableListNumber">
    <w:name w:val="Table List Number"/>
    <w:basedOn w:val="ListNumber"/>
    <w:rsid w:val="009F6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6EB"/>
    <w:pPr>
      <w:numPr>
        <w:numId w:val="9"/>
      </w:numPr>
    </w:pPr>
  </w:style>
  <w:style w:type="paragraph" w:customStyle="1" w:styleId="ListAlpha2">
    <w:name w:val="List Alpha 2"/>
    <w:basedOn w:val="List2"/>
    <w:rsid w:val="009F66EB"/>
    <w:pPr>
      <w:numPr>
        <w:numId w:val="8"/>
      </w:numPr>
    </w:pPr>
  </w:style>
  <w:style w:type="paragraph" w:styleId="List2">
    <w:name w:val="List 2"/>
    <w:basedOn w:val="BodyText"/>
    <w:rsid w:val="009F6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6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6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6EB"/>
    <w:pPr>
      <w:numPr>
        <w:numId w:val="4"/>
      </w:numPr>
    </w:pPr>
  </w:style>
  <w:style w:type="paragraph" w:styleId="ListContinue2">
    <w:name w:val="List Continue 2"/>
    <w:basedOn w:val="List2"/>
    <w:rsid w:val="009F66EB"/>
    <w:pPr>
      <w:ind w:firstLine="0"/>
    </w:pPr>
  </w:style>
  <w:style w:type="paragraph" w:styleId="ListContinue3">
    <w:name w:val="List Continue 3"/>
    <w:basedOn w:val="List3"/>
    <w:rsid w:val="009F66EB"/>
    <w:pPr>
      <w:ind w:left="1021" w:firstLine="0"/>
    </w:pPr>
  </w:style>
  <w:style w:type="paragraph" w:styleId="ListContinue4">
    <w:name w:val="List Continue 4"/>
    <w:basedOn w:val="List4"/>
    <w:rsid w:val="009F66EB"/>
    <w:pPr>
      <w:ind w:firstLine="0"/>
    </w:pPr>
  </w:style>
  <w:style w:type="paragraph" w:styleId="ListContinue5">
    <w:name w:val="List Continue 5"/>
    <w:basedOn w:val="List5"/>
    <w:rsid w:val="009F66EB"/>
    <w:pPr>
      <w:ind w:firstLine="0"/>
    </w:pPr>
  </w:style>
  <w:style w:type="paragraph" w:styleId="ListNumber3">
    <w:name w:val="List Number 3"/>
    <w:basedOn w:val="List3"/>
    <w:rsid w:val="009F66EB"/>
    <w:pPr>
      <w:numPr>
        <w:numId w:val="5"/>
      </w:numPr>
    </w:pPr>
  </w:style>
  <w:style w:type="paragraph" w:styleId="ListNumber4">
    <w:name w:val="List Number 4"/>
    <w:basedOn w:val="List4"/>
    <w:rsid w:val="009F66EB"/>
    <w:pPr>
      <w:numPr>
        <w:numId w:val="6"/>
      </w:numPr>
    </w:pPr>
  </w:style>
  <w:style w:type="paragraph" w:styleId="ListNumber5">
    <w:name w:val="List Number 5"/>
    <w:basedOn w:val="List5"/>
    <w:rsid w:val="009F66EB"/>
    <w:pPr>
      <w:numPr>
        <w:numId w:val="7"/>
      </w:numPr>
    </w:pPr>
  </w:style>
  <w:style w:type="paragraph" w:styleId="BlockText">
    <w:name w:val="Block Text"/>
    <w:basedOn w:val="Normal"/>
    <w:rsid w:val="009F6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6EB"/>
    <w:rPr>
      <w:sz w:val="16"/>
      <w:vertAlign w:val="superscript"/>
    </w:rPr>
  </w:style>
  <w:style w:type="character" w:customStyle="1" w:styleId="Symbols">
    <w:name w:val="Symbols"/>
    <w:basedOn w:val="DefaultParagraphFont"/>
    <w:rsid w:val="009F66EB"/>
    <w:rPr>
      <w:rFonts w:ascii="Symbol" w:hAnsi="Symbol"/>
    </w:rPr>
  </w:style>
  <w:style w:type="character" w:customStyle="1" w:styleId="MenuOptions">
    <w:name w:val="Menu Options"/>
    <w:basedOn w:val="DefaultParagraphFont"/>
    <w:rsid w:val="009F6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6EB"/>
    <w:rPr>
      <w:b/>
    </w:rPr>
  </w:style>
  <w:style w:type="character" w:customStyle="1" w:styleId="Underlined">
    <w:name w:val="Underlined"/>
    <w:basedOn w:val="DefaultParagraphFont"/>
    <w:rsid w:val="009F66EB"/>
    <w:rPr>
      <w:u w:val="single"/>
    </w:rPr>
  </w:style>
  <w:style w:type="paragraph" w:customStyle="1" w:styleId="TableBodyTextRight">
    <w:name w:val="Table Body Text Right"/>
    <w:basedOn w:val="TableBodyText"/>
    <w:rsid w:val="009F6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6EB"/>
    <w:rPr>
      <w:sz w:val="18"/>
    </w:rPr>
  </w:style>
  <w:style w:type="paragraph" w:customStyle="1" w:styleId="BodySmallRight">
    <w:name w:val="Body Small Right"/>
    <w:basedOn w:val="BodyTextRight"/>
    <w:rsid w:val="009F66EB"/>
    <w:rPr>
      <w:sz w:val="18"/>
      <w:szCs w:val="18"/>
    </w:rPr>
  </w:style>
  <w:style w:type="paragraph" w:customStyle="1" w:styleId="MarginEdition">
    <w:name w:val="Margin Edition"/>
    <w:basedOn w:val="MarginNote"/>
    <w:rsid w:val="009F6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6EB"/>
    <w:rPr>
      <w:sz w:val="2"/>
      <w:szCs w:val="2"/>
    </w:rPr>
  </w:style>
  <w:style w:type="character" w:customStyle="1" w:styleId="Small">
    <w:name w:val="Small"/>
    <w:basedOn w:val="DefaultParagraphFont"/>
    <w:rsid w:val="009F66EB"/>
    <w:rPr>
      <w:sz w:val="16"/>
    </w:rPr>
  </w:style>
  <w:style w:type="paragraph" w:customStyle="1" w:styleId="WideTable">
    <w:name w:val="Wide Table"/>
    <w:basedOn w:val="Normal"/>
    <w:rsid w:val="009F6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6EB"/>
  </w:style>
  <w:style w:type="paragraph" w:styleId="Quote">
    <w:name w:val="Quote"/>
    <w:basedOn w:val="Heading1"/>
    <w:link w:val="QuoteChar"/>
    <w:qFormat/>
    <w:rsid w:val="009F6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6EB"/>
    <w:pPr>
      <w:pageBreakBefore/>
    </w:pPr>
  </w:style>
  <w:style w:type="paragraph" w:customStyle="1" w:styleId="Border">
    <w:name w:val="Border"/>
    <w:basedOn w:val="Normal"/>
    <w:qFormat/>
    <w:rsid w:val="009F6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6EB"/>
    <w:rPr>
      <w:u w:val="single"/>
    </w:rPr>
  </w:style>
  <w:style w:type="character" w:customStyle="1" w:styleId="BoldandItalics">
    <w:name w:val="Bold and Italics"/>
    <w:qFormat/>
    <w:rsid w:val="009F66EB"/>
    <w:rPr>
      <w:b/>
      <w:i/>
      <w:u w:val="none"/>
    </w:rPr>
  </w:style>
  <w:style w:type="paragraph" w:styleId="BalloonText">
    <w:name w:val="Balloon Text"/>
    <w:basedOn w:val="Normal"/>
    <w:link w:val="BalloonTextChar"/>
    <w:rsid w:val="009F6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6EB"/>
    <w:pPr>
      <w:spacing w:before="0" w:after="0"/>
    </w:pPr>
  </w:style>
  <w:style w:type="paragraph" w:customStyle="1" w:styleId="BodyTextBold">
    <w:name w:val="Body Text Bold"/>
    <w:basedOn w:val="BodyText"/>
    <w:qFormat/>
    <w:rsid w:val="009F66EB"/>
    <w:rPr>
      <w:b/>
    </w:rPr>
  </w:style>
  <w:style w:type="character" w:styleId="Hyperlink">
    <w:name w:val="Hyperlink"/>
    <w:basedOn w:val="DefaultParagraphFont"/>
    <w:uiPriority w:val="99"/>
    <w:unhideWhenUsed/>
    <w:rsid w:val="00D91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5532</Characters>
  <Application>Microsoft Office Word</Application>
  <DocSecurity>0</DocSecurity>
  <Lines>172</Lines>
  <Paragraphs>105</Paragraphs>
  <ScaleCrop>false</ScaleCrop>
  <Company>Author-it Software Corporation Ltd.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HLTPOP026 Monitor and maintain sewage or effluent systems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