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931" w:rsidP="00EF6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HLTPOP002 Monitor and maintain sewage systems</w:t>
      </w:r>
      <w:r>
        <w:fldChar w:fldCharType="end"/>
      </w:r>
    </w:p>
    <w:p w:rsidR="00EF6931" w:rsidP="00EF6931">
      <w:pPr>
        <w:pStyle w:val="Version"/>
        <w:sectPr w:rsidSect="00786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DAF" w:rsidP="00786DAF">
      <w:pPr>
        <w:pStyle w:val="SuperHeading"/>
      </w:pPr>
      <w:r w:rsidRPr="00786DAF">
        <w:t>HLTPOP002 Monitor and maintain sewage systems</w:t>
      </w:r>
    </w:p>
    <w:p w:rsidR="00000000" w:rsidRPr="00786DAF" w:rsidP="00786DAF">
      <w:pPr>
        <w:pStyle w:val="Heading1"/>
      </w:pPr>
      <w:bookmarkStart w:id="1" w:name="O_826539"/>
      <w:bookmarkEnd w:id="1"/>
      <w:r w:rsidRPr="00786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rPr>
                <w:rStyle w:val="SpecialBold"/>
              </w:rPr>
              <w:t>Comments</w:t>
            </w:r>
          </w:p>
        </w:tc>
      </w:tr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t xml:space="preserve">This version was released in </w:t>
            </w:r>
            <w:r w:rsidRPr="00786DAF">
              <w:rPr>
                <w:rStyle w:val="Emphasis"/>
              </w:rPr>
              <w:t>HLT Health Training Package release 3.0</w:t>
            </w:r>
            <w:r w:rsidRPr="00786DAF">
              <w:t xml:space="preserve"> and meets the requirements of the 2012 Standards for Training Packages.</w:t>
            </w:r>
          </w:p>
          <w:p w:rsidR="00000000" w:rsidRPr="00786DAF" w:rsidP="00786DAF">
            <w:pPr>
              <w:pStyle w:val="BodyText"/>
            </w:pPr>
          </w:p>
          <w:p w:rsidR="00000000" w:rsidRPr="00786DAF" w:rsidP="00786DAF">
            <w:pPr>
              <w:pStyle w:val="BodyText"/>
            </w:pPr>
            <w:r w:rsidRPr="00786DAF">
              <w:t>Merged HLTPOP216D/HLTPOP217D.</w:t>
            </w:r>
          </w:p>
          <w:p w:rsidR="00000000" w:rsidRPr="00786DAF" w:rsidP="00786DAF">
            <w:pPr>
              <w:pStyle w:val="BodyText"/>
            </w:pPr>
            <w:r w:rsidRPr="00786DAF">
              <w:t xml:space="preserve">Significant changes to the </w:t>
            </w:r>
            <w:r w:rsidRPr="00786DAF">
              <w:t>elements and performance criteria. New evidence requirements for assessment, including volume and frequency requirements. Significant change to knowledge evidence.</w:t>
            </w:r>
          </w:p>
        </w:tc>
      </w:tr>
    </w:tbl>
    <w:p w:rsidR="00000000" w:rsidRPr="00786DAF" w:rsidP="00786DAF">
      <w:pPr>
        <w:pStyle w:val="BodyText"/>
      </w:pPr>
    </w:p>
    <w:p w:rsidR="00000000" w:rsidRPr="00786DAF" w:rsidP="00786DAF">
      <w:pPr>
        <w:pStyle w:val="AllowPageBreak"/>
      </w:pPr>
    </w:p>
    <w:p w:rsidR="00000000" w:rsidRPr="00786DAF" w:rsidP="00786DAF">
      <w:pPr>
        <w:pStyle w:val="Heading1"/>
      </w:pPr>
      <w:bookmarkStart w:id="2" w:name="O_826540"/>
      <w:bookmarkEnd w:id="2"/>
      <w:r w:rsidRPr="00786DAF">
        <w:t>Application</w:t>
      </w:r>
    </w:p>
    <w:p w:rsidR="00000000" w:rsidRPr="00786DAF" w:rsidP="00EF6931">
      <w:pPr>
        <w:pStyle w:val="BodyText"/>
      </w:pPr>
      <w:r w:rsidRPr="00786DAF">
        <w:t>This unit describes the skills and knowledge required to iden</w:t>
      </w:r>
      <w:r w:rsidRPr="00786DAF">
        <w:t>tify the basic way in which sewage systems function and the strategies needed to maintain sewage systems in the community.</w:t>
      </w:r>
    </w:p>
    <w:p w:rsidR="00000000" w:rsidRPr="00786DAF" w:rsidP="00EF6931">
      <w:pPr>
        <w:pStyle w:val="BodyText"/>
      </w:pPr>
      <w:r w:rsidRPr="00786DAF">
        <w:t>This unit applies to work in a public health context and workers at this level will work under supervision and within defined guidel</w:t>
      </w:r>
      <w:r w:rsidRPr="00786DAF">
        <w:t>ines.</w:t>
      </w:r>
    </w:p>
    <w:p w:rsidR="00000000" w:rsidRPr="00786DAF" w:rsidP="00EF6931">
      <w:pPr>
        <w:pStyle w:val="BodyText"/>
      </w:pPr>
      <w:r w:rsidRPr="00786DAF">
        <w:t>Plumbing work must only be performed by a person authorised by registration or licence granted by the relevant State or Territory regulatory authority under legislation.</w:t>
      </w:r>
    </w:p>
    <w:p w:rsidR="00000000" w:rsidRPr="00EF6931" w:rsidP="00EF6931">
      <w:pPr>
        <w:pStyle w:val="BodyText"/>
        <w:rPr>
          <w:i/>
        </w:rPr>
      </w:pPr>
      <w:r w:rsidRPr="00EF6931">
        <w:rPr>
          <w:rStyle w:val="Emphasis"/>
        </w:rPr>
        <w:t>The skills in this unit must be applied in accordance with Commonwealth and St</w:t>
      </w:r>
      <w:r w:rsidRPr="00EF6931">
        <w:rPr>
          <w:rStyle w:val="Emphasis"/>
        </w:rPr>
        <w:t>ate/Territory legislation, Australian/New Zealand standards and industry codes of practice.</w:t>
      </w:r>
    </w:p>
    <w:p w:rsidR="00000000" w:rsidRPr="00786DAF" w:rsidP="00786DAF">
      <w:pPr>
        <w:pStyle w:val="Heading1"/>
      </w:pPr>
      <w:bookmarkStart w:id="3" w:name="O_826544"/>
      <w:bookmarkEnd w:id="3"/>
      <w:r w:rsidRPr="00786D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rPr>
                <w:rStyle w:val="SpecialBold"/>
              </w:rPr>
              <w:t>PERFORMANCE CRITERIA</w:t>
            </w:r>
          </w:p>
        </w:tc>
      </w:tr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4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t>1. Identify potential problems and faults with sewage systems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t xml:space="preserve">1.1 Identify components of the sewage system in the community </w:t>
            </w:r>
          </w:p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t>1.2 Chec</w:t>
            </w:r>
            <w:r w:rsidRPr="00786DAF">
              <w:t xml:space="preserve">k for signs of contamination and identify potential problems that can occur with sewage systems and household plumbing and fixtures, including septic tanks </w:t>
            </w:r>
          </w:p>
        </w:tc>
      </w:tr>
      <w:tr w:rsidTr="00786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4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DAF">
            <w:pPr>
              <w:pStyle w:val="BodyText"/>
              <w:rPr>
                <w:lang w:val="en-NZ"/>
              </w:rPr>
            </w:pPr>
            <w:r w:rsidRPr="00786DAF">
              <w:t>2. Monitor and maintain the sewage system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DAF" w:rsidP="00786DAF">
            <w:pPr>
              <w:pStyle w:val="BodyText"/>
            </w:pPr>
            <w:r w:rsidRPr="00786DAF">
              <w:t>2.1 Identify strategies required to prevent the transmis</w:t>
            </w:r>
            <w:r w:rsidRPr="00786DAF">
              <w:t>sion of disease through sewage disposal</w:t>
            </w:r>
          </w:p>
          <w:p w:rsidR="00000000" w:rsidRPr="00786DAF" w:rsidP="00786DAF">
            <w:pPr>
              <w:pStyle w:val="BodyText"/>
            </w:pPr>
            <w:r w:rsidRPr="00786DAF">
              <w:t>2.2 Develop and implement a work plan in relation to the identified strategies in conjunction with supervisor</w:t>
            </w:r>
          </w:p>
          <w:p w:rsidR="00000000" w:rsidRPr="00786DAF" w:rsidP="00786DAF">
            <w:pPr>
              <w:pStyle w:val="BodyText"/>
            </w:pPr>
            <w:r w:rsidRPr="00786DAF">
              <w:t>2.3 Report any difficulties or problems to supervisor in accordance with organisation policy and procedure</w:t>
            </w:r>
          </w:p>
          <w:p w:rsidR="00000000" w:rsidRPr="00786DAF" w:rsidP="00786DAF">
            <w:pPr>
              <w:pStyle w:val="BodyText"/>
            </w:pPr>
            <w:r w:rsidRPr="00786DAF">
              <w:t>2.4 Refer any problems or difficulties that are outside own area of responsibility or expertise to appropriate people or agencies</w:t>
            </w:r>
          </w:p>
        </w:tc>
      </w:tr>
    </w:tbl>
    <w:p w:rsidR="00000000" w:rsidRPr="00786DAF" w:rsidP="00786DAF">
      <w:pPr>
        <w:pStyle w:val="BodyText"/>
      </w:pPr>
    </w:p>
    <w:p w:rsidR="00000000" w:rsidRPr="00786DAF" w:rsidP="00786DAF">
      <w:pPr>
        <w:pStyle w:val="AllowPageBreak"/>
      </w:pPr>
    </w:p>
    <w:p w:rsidR="00000000" w:rsidRPr="00786DAF" w:rsidP="00786DAF">
      <w:pPr>
        <w:pStyle w:val="Heading1"/>
      </w:pPr>
      <w:bookmarkStart w:id="4" w:name="O_826545"/>
      <w:bookmarkEnd w:id="4"/>
      <w:r w:rsidRPr="00786DAF">
        <w:t>Foundation Skills</w:t>
      </w:r>
    </w:p>
    <w:p w:rsidR="00EF6931" w:rsidRPr="00EF6931" w:rsidP="00EF6931">
      <w:pPr>
        <w:pStyle w:val="BodyText"/>
        <w:rPr>
          <w:i/>
        </w:rPr>
      </w:pPr>
      <w:r w:rsidRPr="00EF6931">
        <w:rPr>
          <w:rStyle w:val="Emphasis"/>
        </w:rPr>
        <w:t>The Foundation Skills describe those required skills (language, literacy, num</w:t>
      </w:r>
      <w:r w:rsidRPr="00EF6931">
        <w:rPr>
          <w:rStyle w:val="Emphasis"/>
        </w:rPr>
        <w:t>eracy and employment skills) that are essential to performance.</w:t>
      </w:r>
    </w:p>
    <w:p w:rsidR="00000000" w:rsidRPr="00786DAF" w:rsidP="00EF6931">
      <w:pPr>
        <w:pStyle w:val="BodyText"/>
      </w:pPr>
      <w:r w:rsidRPr="00786DAF">
        <w:t>Foundation skills essential to performance are explicit in the performance criteria of this unit of competency.</w:t>
      </w:r>
    </w:p>
    <w:p w:rsidR="00000000" w:rsidRPr="00786DAF" w:rsidP="00786DAF">
      <w:pPr>
        <w:pStyle w:val="Heading1"/>
      </w:pPr>
      <w:bookmarkStart w:id="5" w:name="O_826547"/>
      <w:bookmarkEnd w:id="5"/>
      <w:r w:rsidRPr="00786DAF">
        <w:t>Unit Mapping Information</w:t>
      </w:r>
    </w:p>
    <w:p w:rsidR="00000000" w:rsidRPr="00786DAF" w:rsidP="00EF6931">
      <w:pPr>
        <w:pStyle w:val="BodyText"/>
      </w:pPr>
      <w:r w:rsidRPr="00786DAF">
        <w:t>No equivalent unit</w:t>
      </w:r>
    </w:p>
    <w:p w:rsidR="00000000" w:rsidRPr="00786DAF" w:rsidP="00786DAF">
      <w:pPr>
        <w:pStyle w:val="Heading1"/>
      </w:pPr>
      <w:bookmarkStart w:id="6" w:name="O_826554"/>
      <w:bookmarkEnd w:id="6"/>
      <w:r w:rsidRPr="00786DAF">
        <w:t>Links</w:t>
      </w:r>
    </w:p>
    <w:p w:rsidR="00000000" w:rsidRPr="00786DAF" w:rsidP="00EF6931">
      <w:pPr>
        <w:pStyle w:val="BodyText"/>
      </w:pPr>
      <w:r w:rsidRPr="00786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71B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6DAF" w:rsidP="00786DAF"/>
    <w:sectPr w:rsidSect="00786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AF" w:rsidRPr="00EF6931" w:rsidP="00EF6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1" w:rsidP="00786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931" w:rsidP="00786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6931" w:rsidP="00786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DAF" w:rsidRPr="00EF6931" w:rsidP="00EF6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31" w:rsidRPr="002D2AF8" w:rsidP="00786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HLTPOP002 Monitor and maintain sewage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F6931" w:rsidP="00786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DAF"/>
  </w:style>
  <w:style w:type="character" w:customStyle="1" w:styleId="Heading1Char">
    <w:name w:val="Heading 1 Char"/>
    <w:basedOn w:val="DefaultParagraphFont"/>
    <w:link w:val="Heading1"/>
    <w:rsid w:val="00786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D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6DAF"/>
    <w:rPr>
      <w:b/>
      <w:spacing w:val="0"/>
    </w:rPr>
  </w:style>
  <w:style w:type="character" w:styleId="Emphasis">
    <w:name w:val="Emphasis"/>
    <w:basedOn w:val="DefaultParagraphFont"/>
    <w:qFormat/>
    <w:rsid w:val="00786DAF"/>
    <w:rPr>
      <w:i/>
    </w:rPr>
  </w:style>
  <w:style w:type="paragraph" w:customStyle="1" w:styleId="SuperHeading">
    <w:name w:val="SuperHeading"/>
    <w:basedOn w:val="Normal"/>
    <w:rsid w:val="00786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D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D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D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6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DAF"/>
  </w:style>
  <w:style w:type="paragraph" w:styleId="TableofFigures">
    <w:name w:val="table of figures"/>
    <w:basedOn w:val="Normal"/>
    <w:next w:val="Normal"/>
    <w:semiHidden/>
    <w:rsid w:val="00786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D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6DAF"/>
    <w:rPr>
      <w:rFonts w:ascii="Wingdings" w:hAnsi="Wingdings"/>
    </w:rPr>
  </w:style>
  <w:style w:type="paragraph" w:customStyle="1" w:styleId="TableHeading">
    <w:name w:val="Table Heading"/>
    <w:basedOn w:val="HeadingBase"/>
    <w:rsid w:val="00786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DAF"/>
    <w:rPr>
      <w:color w:val="0033CC"/>
      <w:u w:val="none"/>
    </w:rPr>
  </w:style>
  <w:style w:type="paragraph" w:customStyle="1" w:styleId="BodyTextRight">
    <w:name w:val="Body Text Right"/>
    <w:basedOn w:val="BodyText"/>
    <w:rsid w:val="00786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D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DAF"/>
    <w:rPr>
      <w:sz w:val="32"/>
    </w:rPr>
  </w:style>
  <w:style w:type="paragraph" w:customStyle="1" w:styleId="HeadingProcedure">
    <w:name w:val="Heading Procedure"/>
    <w:basedOn w:val="HeadingBase"/>
    <w:next w:val="Normal"/>
    <w:rsid w:val="00786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DAF"/>
    <w:pPr>
      <w:spacing w:before="60" w:after="60"/>
    </w:pPr>
  </w:style>
  <w:style w:type="paragraph" w:styleId="ListContinue">
    <w:name w:val="List Continue"/>
    <w:basedOn w:val="List"/>
    <w:rsid w:val="00786DAF"/>
    <w:pPr>
      <w:ind w:firstLine="0"/>
    </w:pPr>
  </w:style>
  <w:style w:type="paragraph" w:customStyle="1" w:styleId="ListNote">
    <w:name w:val="List Note"/>
    <w:basedOn w:val="List"/>
    <w:rsid w:val="00786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DAF"/>
    <w:rPr>
      <w:rFonts w:ascii="Courier New" w:hAnsi="Courier New"/>
    </w:rPr>
  </w:style>
  <w:style w:type="paragraph" w:customStyle="1" w:styleId="NoteBullet">
    <w:name w:val="Note Bullet"/>
    <w:basedOn w:val="Note"/>
    <w:rsid w:val="00786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D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6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DAF"/>
    <w:rPr>
      <w:b/>
      <w:smallCaps/>
    </w:rPr>
  </w:style>
  <w:style w:type="paragraph" w:customStyle="1" w:styleId="TableListNumber">
    <w:name w:val="Table List Number"/>
    <w:basedOn w:val="ListNumber"/>
    <w:rsid w:val="00786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DAF"/>
    <w:pPr>
      <w:numPr>
        <w:numId w:val="7"/>
      </w:numPr>
    </w:pPr>
  </w:style>
  <w:style w:type="paragraph" w:customStyle="1" w:styleId="ListAlpha2">
    <w:name w:val="List Alpha 2"/>
    <w:basedOn w:val="List2"/>
    <w:rsid w:val="00786DAF"/>
    <w:pPr>
      <w:numPr>
        <w:numId w:val="6"/>
      </w:numPr>
    </w:pPr>
  </w:style>
  <w:style w:type="paragraph" w:styleId="List2">
    <w:name w:val="List 2"/>
    <w:basedOn w:val="BodyText"/>
    <w:rsid w:val="00786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D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D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DAF"/>
    <w:pPr>
      <w:numPr>
        <w:numId w:val="2"/>
      </w:numPr>
    </w:pPr>
  </w:style>
  <w:style w:type="paragraph" w:styleId="ListContinue2">
    <w:name w:val="List Continue 2"/>
    <w:basedOn w:val="List2"/>
    <w:rsid w:val="00786DAF"/>
    <w:pPr>
      <w:ind w:firstLine="0"/>
    </w:pPr>
  </w:style>
  <w:style w:type="paragraph" w:styleId="ListContinue3">
    <w:name w:val="List Continue 3"/>
    <w:basedOn w:val="List3"/>
    <w:rsid w:val="00786DAF"/>
    <w:pPr>
      <w:ind w:left="1021" w:firstLine="0"/>
    </w:pPr>
  </w:style>
  <w:style w:type="paragraph" w:styleId="ListContinue4">
    <w:name w:val="List Continue 4"/>
    <w:basedOn w:val="List4"/>
    <w:rsid w:val="00786DAF"/>
    <w:pPr>
      <w:ind w:firstLine="0"/>
    </w:pPr>
  </w:style>
  <w:style w:type="paragraph" w:styleId="ListContinue5">
    <w:name w:val="List Continue 5"/>
    <w:basedOn w:val="List5"/>
    <w:rsid w:val="00786DAF"/>
    <w:pPr>
      <w:ind w:firstLine="0"/>
    </w:pPr>
  </w:style>
  <w:style w:type="paragraph" w:styleId="ListNumber3">
    <w:name w:val="List Number 3"/>
    <w:basedOn w:val="List3"/>
    <w:rsid w:val="00786DAF"/>
    <w:pPr>
      <w:numPr>
        <w:numId w:val="3"/>
      </w:numPr>
    </w:pPr>
  </w:style>
  <w:style w:type="paragraph" w:styleId="ListNumber4">
    <w:name w:val="List Number 4"/>
    <w:basedOn w:val="List4"/>
    <w:rsid w:val="00786DAF"/>
    <w:pPr>
      <w:numPr>
        <w:numId w:val="4"/>
      </w:numPr>
    </w:pPr>
  </w:style>
  <w:style w:type="paragraph" w:styleId="ListNumber5">
    <w:name w:val="List Number 5"/>
    <w:basedOn w:val="List5"/>
    <w:rsid w:val="00786DAF"/>
    <w:pPr>
      <w:numPr>
        <w:numId w:val="5"/>
      </w:numPr>
    </w:pPr>
  </w:style>
  <w:style w:type="paragraph" w:styleId="BlockText">
    <w:name w:val="Block Text"/>
    <w:basedOn w:val="Normal"/>
    <w:rsid w:val="00786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DAF"/>
    <w:rPr>
      <w:sz w:val="16"/>
      <w:vertAlign w:val="superscript"/>
    </w:rPr>
  </w:style>
  <w:style w:type="character" w:customStyle="1" w:styleId="Symbols">
    <w:name w:val="Symbols"/>
    <w:basedOn w:val="DefaultParagraphFont"/>
    <w:rsid w:val="00786DAF"/>
    <w:rPr>
      <w:rFonts w:ascii="Symbol" w:hAnsi="Symbol"/>
    </w:rPr>
  </w:style>
  <w:style w:type="character" w:customStyle="1" w:styleId="MenuOptions">
    <w:name w:val="Menu Options"/>
    <w:basedOn w:val="DefaultParagraphFont"/>
    <w:rsid w:val="00786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DAF"/>
    <w:rPr>
      <w:b/>
    </w:rPr>
  </w:style>
  <w:style w:type="character" w:customStyle="1" w:styleId="Underlined">
    <w:name w:val="Underlined"/>
    <w:basedOn w:val="DefaultParagraphFont"/>
    <w:rsid w:val="00786DAF"/>
    <w:rPr>
      <w:u w:val="single"/>
    </w:rPr>
  </w:style>
  <w:style w:type="paragraph" w:customStyle="1" w:styleId="TableBodyTextRight">
    <w:name w:val="Table Body Text Right"/>
    <w:basedOn w:val="TableBodyText"/>
    <w:rsid w:val="00786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DAF"/>
    <w:rPr>
      <w:sz w:val="18"/>
    </w:rPr>
  </w:style>
  <w:style w:type="paragraph" w:customStyle="1" w:styleId="BodySmallRight">
    <w:name w:val="Body Small Right"/>
    <w:basedOn w:val="BodyTextRight"/>
    <w:rsid w:val="00786DAF"/>
    <w:rPr>
      <w:sz w:val="18"/>
      <w:szCs w:val="18"/>
    </w:rPr>
  </w:style>
  <w:style w:type="paragraph" w:customStyle="1" w:styleId="MarginEdition">
    <w:name w:val="Margin Edition"/>
    <w:basedOn w:val="MarginNote"/>
    <w:rsid w:val="00786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DAF"/>
    <w:rPr>
      <w:sz w:val="2"/>
      <w:szCs w:val="2"/>
    </w:rPr>
  </w:style>
  <w:style w:type="character" w:customStyle="1" w:styleId="Small">
    <w:name w:val="Small"/>
    <w:basedOn w:val="DefaultParagraphFont"/>
    <w:rsid w:val="00786DAF"/>
    <w:rPr>
      <w:sz w:val="16"/>
    </w:rPr>
  </w:style>
  <w:style w:type="paragraph" w:customStyle="1" w:styleId="WideTable">
    <w:name w:val="Wide Table"/>
    <w:basedOn w:val="Normal"/>
    <w:rsid w:val="00786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DAF"/>
  </w:style>
  <w:style w:type="paragraph" w:styleId="Quote">
    <w:name w:val="Quote"/>
    <w:basedOn w:val="Heading1"/>
    <w:link w:val="QuoteChar"/>
    <w:qFormat/>
    <w:rsid w:val="00786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DAF"/>
    <w:pPr>
      <w:pageBreakBefore/>
    </w:pPr>
  </w:style>
  <w:style w:type="paragraph" w:customStyle="1" w:styleId="Border">
    <w:name w:val="Border"/>
    <w:basedOn w:val="Normal"/>
    <w:qFormat/>
    <w:rsid w:val="00786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DAF"/>
    <w:rPr>
      <w:u w:val="single"/>
    </w:rPr>
  </w:style>
  <w:style w:type="character" w:customStyle="1" w:styleId="BoldandItalics">
    <w:name w:val="Bold and Italics"/>
    <w:qFormat/>
    <w:rsid w:val="00786DAF"/>
    <w:rPr>
      <w:b/>
      <w:i/>
      <w:u w:val="none"/>
    </w:rPr>
  </w:style>
  <w:style w:type="paragraph" w:styleId="BalloonText">
    <w:name w:val="Balloon Text"/>
    <w:basedOn w:val="Normal"/>
    <w:link w:val="BalloonTextChar"/>
    <w:rsid w:val="00786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DAF"/>
    <w:pPr>
      <w:spacing w:before="0" w:after="0"/>
    </w:pPr>
  </w:style>
  <w:style w:type="paragraph" w:customStyle="1" w:styleId="BodyTextBold">
    <w:name w:val="Body Text Bold"/>
    <w:basedOn w:val="BodyText"/>
    <w:qFormat/>
    <w:rsid w:val="00786DAF"/>
    <w:rPr>
      <w:b/>
    </w:rPr>
  </w:style>
  <w:style w:type="character" w:styleId="Hyperlink">
    <w:name w:val="Hyperlink"/>
    <w:basedOn w:val="DefaultParagraphFont"/>
    <w:uiPriority w:val="99"/>
    <w:unhideWhenUsed/>
    <w:rsid w:val="00EF6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2446</Characters>
  <Application>Microsoft Office Word</Application>
  <DocSecurity>0</DocSecurity>
  <Lines>81</Lines>
  <Paragraphs>42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HLTPOP002 Monitor and maintain sewage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