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D35" w:rsidP="00C90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HLTPHA030 Apply knowledge of medications used to provide analgesia</w:t>
      </w:r>
      <w:r>
        <w:fldChar w:fldCharType="end"/>
      </w:r>
    </w:p>
    <w:p w:rsidR="00C90D35" w:rsidP="00C90D35">
      <w:pPr>
        <w:pStyle w:val="Version"/>
        <w:sectPr w:rsidSect="007A4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7FA" w:rsidP="007A47FA">
      <w:pPr>
        <w:pStyle w:val="SuperHeading"/>
      </w:pPr>
      <w:r w:rsidRPr="007A47FA">
        <w:t>HLTPHA030 Apply knowledge of medications used to provide analgesia</w:t>
      </w:r>
    </w:p>
    <w:p w:rsidR="00000000" w:rsidRPr="007A47FA" w:rsidP="007A47FA">
      <w:pPr>
        <w:pStyle w:val="Heading1"/>
      </w:pPr>
      <w:bookmarkStart w:id="1" w:name="O_1225667"/>
      <w:bookmarkEnd w:id="1"/>
      <w:r w:rsidRPr="007A47FA">
        <w:t>Modification History</w:t>
      </w:r>
    </w:p>
    <w:p w:rsidR="00000000" w:rsidRPr="007A47FA" w:rsidP="00C90D35">
      <w:pPr>
        <w:pStyle w:val="BodyText"/>
      </w:pPr>
      <w:r w:rsidRPr="007A47FA">
        <w:t>Not applicable.</w:t>
      </w:r>
    </w:p>
    <w:p w:rsidR="00000000" w:rsidRPr="007A47FA" w:rsidP="007A47FA">
      <w:pPr>
        <w:pStyle w:val="Heading1"/>
      </w:pPr>
      <w:bookmarkStart w:id="2" w:name="O_1225668"/>
      <w:bookmarkEnd w:id="2"/>
      <w:r w:rsidRPr="007A47FA">
        <w:t>Application</w:t>
      </w:r>
    </w:p>
    <w:p w:rsidR="00000000" w:rsidRPr="007A47FA" w:rsidP="00C90D35">
      <w:pPr>
        <w:pStyle w:val="BodyText"/>
      </w:pPr>
      <w:r w:rsidRPr="007A47FA">
        <w:t>This unit of competency describes the performance outcomes, skills and knowledge required to recognise the main medications and their actions in providing analgesia.</w:t>
      </w:r>
    </w:p>
    <w:p w:rsidR="00000000" w:rsidRPr="007A47FA" w:rsidP="00C90D35">
      <w:pPr>
        <w:pStyle w:val="BodyText"/>
      </w:pPr>
      <w:r w:rsidRPr="007A47FA">
        <w:t>This unit applies to hospital or health services pharmacy assistants and technicians worki</w:t>
      </w:r>
      <w:r w:rsidRPr="007A47FA">
        <w:t>ng under the supervision of an authorised person.</w:t>
      </w:r>
    </w:p>
    <w:p w:rsidR="00000000" w:rsidRPr="007A47FA" w:rsidP="00C90D35">
      <w:pPr>
        <w:pStyle w:val="BodyText"/>
      </w:pPr>
      <w:r w:rsidRPr="007A47FA">
        <w:t>The skills in this unit must be applied in accordance with Commonwealth and State or Territory legislation, Australian standards and industry codes of practice.</w:t>
      </w:r>
    </w:p>
    <w:p w:rsidR="00000000" w:rsidRPr="007A47FA" w:rsidP="00C90D35">
      <w:pPr>
        <w:pStyle w:val="BodyText"/>
      </w:pPr>
      <w:r w:rsidRPr="007A47FA">
        <w:t>No occupational licensing, certification or s</w:t>
      </w:r>
      <w:r w:rsidRPr="007A47FA">
        <w:t>pecific legislative requirements apply to this unit at the time of publication.</w:t>
      </w:r>
    </w:p>
    <w:p w:rsidR="00000000" w:rsidRPr="007A47FA" w:rsidP="007A47FA">
      <w:pPr>
        <w:pStyle w:val="Heading1"/>
      </w:pPr>
      <w:bookmarkStart w:id="3" w:name="O_1225669"/>
      <w:bookmarkEnd w:id="3"/>
      <w:r w:rsidRPr="007A47FA">
        <w:t>Pre-requisite Unit</w:t>
      </w:r>
    </w:p>
    <w:p w:rsidR="00000000" w:rsidRPr="007A47FA" w:rsidP="00C90D35">
      <w:pPr>
        <w:pStyle w:val="BodyText"/>
      </w:pPr>
      <w:r w:rsidRPr="007A47FA">
        <w:t>Nil</w:t>
      </w:r>
    </w:p>
    <w:p w:rsidR="00000000" w:rsidRPr="007A47FA" w:rsidP="007A47FA">
      <w:pPr>
        <w:pStyle w:val="Heading1"/>
      </w:pPr>
      <w:bookmarkStart w:id="4" w:name="O_1225670"/>
      <w:bookmarkEnd w:id="4"/>
      <w:r w:rsidRPr="007A47FA">
        <w:t>Competency Field</w:t>
      </w:r>
    </w:p>
    <w:p w:rsidR="00000000" w:rsidRPr="007A47FA" w:rsidP="00C90D35">
      <w:pPr>
        <w:pStyle w:val="BodyText"/>
      </w:pPr>
      <w:r w:rsidRPr="007A47FA">
        <w:t>Pharmacy</w:t>
      </w:r>
    </w:p>
    <w:p w:rsidR="00000000" w:rsidRPr="007A47FA" w:rsidP="007A47FA">
      <w:pPr>
        <w:pStyle w:val="Heading1"/>
      </w:pPr>
      <w:bookmarkStart w:id="5" w:name="O_1225671"/>
      <w:bookmarkEnd w:id="5"/>
      <w:r w:rsidRPr="007A47FA">
        <w:t>Unit Sector</w:t>
      </w:r>
    </w:p>
    <w:p w:rsidR="00000000" w:rsidRPr="007A47FA" w:rsidP="00C90D35">
      <w:pPr>
        <w:pStyle w:val="BodyText"/>
      </w:pPr>
      <w:r w:rsidRPr="007A47FA">
        <w:t>Health</w:t>
      </w:r>
    </w:p>
    <w:p w:rsidR="00000000" w:rsidRPr="007A47FA" w:rsidP="007A47FA">
      <w:pPr>
        <w:pStyle w:val="Heading1"/>
      </w:pPr>
      <w:bookmarkStart w:id="6" w:name="O_1225672"/>
      <w:bookmarkEnd w:id="6"/>
      <w:r w:rsidRPr="007A47FA">
        <w:t>Elements and Performance Criteri</w:t>
      </w:r>
      <w:r w:rsidRPr="007A47FA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A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7FA" w:rsidP="007A47FA">
            <w:pPr>
              <w:pStyle w:val="BodyText"/>
            </w:pPr>
            <w:r w:rsidRPr="007A47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7FA">
            <w:pPr>
              <w:pStyle w:val="BodyText"/>
              <w:rPr>
                <w:lang w:val="en-NZ"/>
              </w:rPr>
            </w:pPr>
            <w:r w:rsidRPr="007A47FA">
              <w:rPr>
                <w:rStyle w:val="SpecialBold"/>
              </w:rPr>
              <w:t>PERFORMANCE</w:t>
            </w:r>
            <w:r w:rsidRPr="007A47FA">
              <w:t xml:space="preserve"> </w:t>
            </w:r>
            <w:r w:rsidRPr="007A47FA">
              <w:rPr>
                <w:rStyle w:val="SpecialBold"/>
              </w:rPr>
              <w:t>CRITERIA</w:t>
            </w:r>
          </w:p>
        </w:tc>
      </w:tr>
      <w:tr w:rsidTr="007A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7FA" w:rsidP="007A47FA">
            <w:pPr>
              <w:pStyle w:val="BodyText"/>
            </w:pPr>
            <w:r w:rsidRPr="007A47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7FA">
            <w:pPr>
              <w:pStyle w:val="BodyText"/>
              <w:rPr>
                <w:lang w:val="en-NZ"/>
              </w:rPr>
            </w:pPr>
            <w:r w:rsidRPr="007A47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7FA">
            <w:pPr>
              <w:pStyle w:val="List"/>
              <w:rPr>
                <w:lang w:val="en-NZ"/>
              </w:rPr>
            </w:pPr>
            <w:r w:rsidRPr="007A47FA">
              <w:t>1.  Identify medication required to manage pain.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7FA" w:rsidP="007A47FA">
            <w:pPr>
              <w:pStyle w:val="List"/>
            </w:pPr>
            <w:r w:rsidRPr="007A47FA">
              <w:t>1.1. Identify the cause of pain.</w:t>
            </w:r>
          </w:p>
          <w:p w:rsidR="00000000" w:rsidRPr="007A47FA" w:rsidP="007A47FA">
            <w:pPr>
              <w:pStyle w:val="List"/>
            </w:pPr>
            <w:r w:rsidRPr="007A47FA">
              <w:t>1.2. Identify the factors that lead to the successful management of pain.</w:t>
            </w:r>
          </w:p>
          <w:p w:rsidR="00000000" w:rsidP="007A47FA">
            <w:pPr>
              <w:pStyle w:val="List"/>
              <w:rPr>
                <w:lang w:val="en-NZ"/>
              </w:rPr>
            </w:pPr>
            <w:r w:rsidRPr="007A47FA">
              <w:t>1.3. Consult authorised personnel to verify the optimal use of analgesics.</w:t>
            </w:r>
          </w:p>
        </w:tc>
      </w:tr>
      <w:tr w:rsidTr="007A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7FA">
            <w:pPr>
              <w:pStyle w:val="List"/>
              <w:rPr>
                <w:lang w:val="en-NZ"/>
              </w:rPr>
            </w:pPr>
            <w:r w:rsidRPr="007A47FA">
              <w:t xml:space="preserve">2.  Prepare appropriate analgesics to dispense </w:t>
            </w:r>
            <w:r w:rsidRPr="007A47FA">
              <w:t>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7FA" w:rsidP="007A47FA">
            <w:pPr>
              <w:pStyle w:val="List"/>
            </w:pPr>
            <w:r w:rsidRPr="007A47FA">
              <w:t>2.1. Identify the appropriate analgesics to be</w:t>
            </w:r>
            <w:r w:rsidRPr="007A47FA">
              <w:t xml:space="preserve"> dispensed to patients.</w:t>
            </w:r>
          </w:p>
          <w:p w:rsidR="00000000" w:rsidP="007A47FA">
            <w:pPr>
              <w:pStyle w:val="List"/>
              <w:rPr>
                <w:lang w:val="en-NZ"/>
              </w:rPr>
            </w:pPr>
            <w:r w:rsidRPr="007A47FA">
              <w:t>2.2. Confirm medication to be dispensed to the patient with an authorised person and prepare as directed.</w:t>
            </w:r>
          </w:p>
        </w:tc>
      </w:tr>
      <w:tr w:rsidTr="007A4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7FA">
            <w:pPr>
              <w:pStyle w:val="List"/>
              <w:rPr>
                <w:lang w:val="en-NZ"/>
              </w:rPr>
            </w:pPr>
            <w:r w:rsidRPr="007A47FA">
              <w:t>3.  Provide appropriate information to patients on the correct use of the analgesics.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7FA" w:rsidP="007A47FA">
            <w:pPr>
              <w:pStyle w:val="List"/>
            </w:pPr>
            <w:r w:rsidRPr="007A47FA">
              <w:t>3.1. Use communication techniques, in accordance with ethical codes of conduct to explain the uses and limitations of analgesics to patients.</w:t>
            </w:r>
          </w:p>
          <w:p w:rsidR="00000000" w:rsidRPr="007A47FA" w:rsidP="007A47FA">
            <w:pPr>
              <w:pStyle w:val="List"/>
            </w:pPr>
            <w:r w:rsidRPr="007A47FA">
              <w:t>3.2. State the dosage that has been prescribed.</w:t>
            </w:r>
          </w:p>
          <w:p w:rsidR="00000000" w:rsidRPr="007A47FA" w:rsidP="007A47FA">
            <w:pPr>
              <w:pStyle w:val="List"/>
            </w:pPr>
            <w:r w:rsidRPr="007A47FA">
              <w:t>3.3. Explain the steps required to ingest and apply the prescribed</w:t>
            </w:r>
            <w:r w:rsidRPr="007A47FA">
              <w:t xml:space="preserve"> medication.</w:t>
            </w:r>
          </w:p>
          <w:p w:rsidR="00000000" w:rsidRPr="007A47FA" w:rsidP="007A47FA">
            <w:pPr>
              <w:pStyle w:val="List"/>
            </w:pPr>
            <w:r w:rsidRPr="007A47FA">
              <w:t>3.4. Explain the route for administering the medication.</w:t>
            </w:r>
          </w:p>
          <w:p w:rsidR="00000000" w:rsidRPr="007A47FA" w:rsidP="007A47FA">
            <w:pPr>
              <w:pStyle w:val="List"/>
            </w:pPr>
            <w:r w:rsidRPr="007A47FA">
              <w:t>3.5. Explain the storage requirements of the medication and how to dispose of used or remaining unused portion of the medication.</w:t>
            </w:r>
          </w:p>
          <w:p w:rsidR="00000000" w:rsidRPr="007A47FA" w:rsidP="007A47FA">
            <w:pPr>
              <w:pStyle w:val="List"/>
            </w:pPr>
            <w:r w:rsidRPr="007A47FA">
              <w:t>3.6 Identify the signs which would warrant referral to a</w:t>
            </w:r>
            <w:r w:rsidRPr="007A47FA">
              <w:t>n authorised person when required.</w:t>
            </w:r>
          </w:p>
          <w:p w:rsidR="00000000" w:rsidRPr="007A47FA" w:rsidP="007A47FA">
            <w:pPr>
              <w:pStyle w:val="List"/>
            </w:pPr>
            <w:r w:rsidRPr="007A47FA">
              <w:t>3.7. Utilise appropriate techniques to confirm patient understanding of the uses and actions of the medication.</w:t>
            </w:r>
          </w:p>
          <w:p w:rsidR="00000000" w:rsidRPr="007A47FA" w:rsidP="007A47FA">
            <w:pPr>
              <w:pStyle w:val="List"/>
            </w:pPr>
            <w:r w:rsidRPr="007A47FA">
              <w:t xml:space="preserve">3.8. Identify patients having difficulty using, taking and actuating their prescribed medication and provide </w:t>
            </w:r>
            <w:r w:rsidRPr="007A47FA">
              <w:t>further assistance or refer the patient if required.</w:t>
            </w:r>
          </w:p>
        </w:tc>
      </w:tr>
    </w:tbl>
    <w:p w:rsidR="00000000" w:rsidRPr="007A47FA" w:rsidP="007A47FA">
      <w:pPr>
        <w:pStyle w:val="BodyText"/>
      </w:pPr>
    </w:p>
    <w:p w:rsidR="00000000" w:rsidRPr="007A47FA" w:rsidP="007A47FA">
      <w:pPr>
        <w:pStyle w:val="AllowPageBreak"/>
      </w:pPr>
    </w:p>
    <w:p w:rsidR="00000000" w:rsidRPr="007A47FA" w:rsidP="007A47FA">
      <w:pPr>
        <w:pStyle w:val="Heading1"/>
      </w:pPr>
      <w:bookmarkStart w:id="7" w:name="O_1225673"/>
      <w:bookmarkEnd w:id="7"/>
      <w:r w:rsidRPr="007A47FA">
        <w:t>Foundation Skills</w:t>
      </w:r>
    </w:p>
    <w:p w:rsidR="00000000" w:rsidRPr="00C90D35" w:rsidP="00C90D35">
      <w:pPr>
        <w:pStyle w:val="BodyText"/>
        <w:rPr>
          <w:i/>
        </w:rPr>
      </w:pPr>
      <w:r w:rsidRPr="00C90D35">
        <w:rPr>
          <w:rStyle w:val="Emphasis"/>
        </w:rPr>
        <w:t>Foundation skills essential to performance are explicit in the performance criteria of this unit of competency.</w:t>
      </w:r>
    </w:p>
    <w:p w:rsidR="00000000" w:rsidRPr="007A47FA" w:rsidP="007A47FA">
      <w:pPr>
        <w:pStyle w:val="Heading1"/>
      </w:pPr>
      <w:bookmarkStart w:id="8" w:name="O_1225675"/>
      <w:bookmarkEnd w:id="8"/>
      <w:r w:rsidRPr="007A47FA">
        <w:t>Unit Mapping Information</w:t>
      </w:r>
    </w:p>
    <w:p w:rsidR="00000000" w:rsidRPr="007A47FA" w:rsidP="00C90D35">
      <w:pPr>
        <w:pStyle w:val="BodyText"/>
      </w:pPr>
      <w:r w:rsidRPr="007A47FA">
        <w:t>No equiv</w:t>
      </w:r>
      <w:r w:rsidRPr="007A47FA">
        <w:t>alent unit.</w:t>
      </w:r>
    </w:p>
    <w:p w:rsidR="00000000" w:rsidRPr="007A47FA" w:rsidP="007A47FA">
      <w:pPr>
        <w:pStyle w:val="Heading1"/>
      </w:pPr>
      <w:bookmarkStart w:id="9" w:name="O_1225682"/>
      <w:bookmarkEnd w:id="9"/>
      <w:r w:rsidRPr="007A47FA">
        <w:t>Links</w:t>
      </w:r>
    </w:p>
    <w:p w:rsidR="00000000" w:rsidRPr="007A47FA" w:rsidP="00C90D35">
      <w:pPr>
        <w:pStyle w:val="BodyText"/>
      </w:pPr>
      <w:r w:rsidRPr="007A4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77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A47FA" w:rsidP="00C90D35">
      <w:pPr>
        <w:pStyle w:val="BodyText"/>
        <w:sectPr w:rsidSect="007A47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47FA" w:rsidP="007A47FA">
      <w:pPr>
        <w:pStyle w:val="SuperHeading"/>
      </w:pPr>
      <w:r w:rsidRPr="007A47FA">
        <w:t xml:space="preserve">Assessment </w:t>
      </w:r>
      <w:r w:rsidRPr="007A47FA">
        <w:t>Requirements for HLTPHA030 Apply knowledge of medications used to provide analgesia</w:t>
      </w:r>
    </w:p>
    <w:p w:rsidR="00000000" w:rsidRPr="007A47FA" w:rsidP="007A47FA">
      <w:pPr>
        <w:pStyle w:val="Heading1"/>
      </w:pPr>
      <w:bookmarkStart w:id="10" w:name="O_1225677"/>
      <w:bookmarkEnd w:id="10"/>
      <w:r w:rsidRPr="007A47FA">
        <w:t>Modification History</w:t>
      </w:r>
    </w:p>
    <w:p w:rsidR="00000000" w:rsidRPr="007A47FA" w:rsidP="00C90D35">
      <w:pPr>
        <w:pStyle w:val="BodyText"/>
      </w:pPr>
      <w:r w:rsidRPr="007A47FA">
        <w:t>Not applicable.</w:t>
      </w:r>
    </w:p>
    <w:p w:rsidR="00000000" w:rsidRPr="007A47FA" w:rsidP="007A47FA">
      <w:pPr>
        <w:pStyle w:val="Heading1"/>
      </w:pPr>
      <w:bookmarkStart w:id="11" w:name="O_1225678"/>
      <w:bookmarkEnd w:id="11"/>
      <w:r w:rsidRPr="007A47FA">
        <w:t>Performance Evidence</w:t>
      </w:r>
    </w:p>
    <w:p w:rsidR="00000000" w:rsidRPr="007A47FA" w:rsidP="00C90D35">
      <w:pPr>
        <w:pStyle w:val="BodyText"/>
      </w:pPr>
      <w:r w:rsidRPr="007A47FA">
        <w:t>Evidence of the ability to complete tasks outlined in elements and performance criteria of this unit in the context of the job role, and:</w:t>
      </w:r>
    </w:p>
    <w:p w:rsidR="00000000" w:rsidRPr="007A47FA" w:rsidP="007A47FA">
      <w:pPr>
        <w:pStyle w:val="ListBullet"/>
      </w:pPr>
      <w:r w:rsidRPr="007A47FA">
        <w:t>prepare and dispense analgesic medication on at least 10 occasions and inform 10 patients, including:</w:t>
      </w:r>
    </w:p>
    <w:p w:rsidR="00000000" w:rsidRPr="007A47FA" w:rsidP="007A47FA">
      <w:pPr>
        <w:pStyle w:val="ListBullet2"/>
      </w:pPr>
      <w:r w:rsidRPr="007A47FA">
        <w:t>identifying an</w:t>
      </w:r>
      <w:r w:rsidRPr="007A47FA">
        <w:t>d sourcing information</w:t>
      </w:r>
    </w:p>
    <w:p w:rsidR="00000000" w:rsidRPr="007A47FA" w:rsidP="007A47FA">
      <w:pPr>
        <w:pStyle w:val="ListBullet2"/>
      </w:pPr>
      <w:r w:rsidRPr="007A47FA">
        <w:t>screening, assessing and providing basic medication discharge information and instructions to patients regarding the use of analgesic medications</w:t>
      </w:r>
    </w:p>
    <w:p w:rsidR="00000000" w:rsidRPr="007A47FA" w:rsidP="007A47FA">
      <w:pPr>
        <w:pStyle w:val="ListBullet2"/>
      </w:pPr>
      <w:r w:rsidRPr="007A47FA">
        <w:t>referral of enquiries outside scope of own practice to the pharmacist</w:t>
      </w:r>
    </w:p>
    <w:p w:rsidR="00000000" w:rsidRPr="007A47FA" w:rsidP="007A47FA">
      <w:pPr>
        <w:pStyle w:val="ListBullet2"/>
      </w:pPr>
      <w:r w:rsidRPr="007A47FA">
        <w:t>confirmation of  medication dispensing with an authorised person</w:t>
      </w:r>
    </w:p>
    <w:p w:rsidR="00000000" w:rsidRPr="007A47FA" w:rsidP="007A47FA">
      <w:pPr>
        <w:pStyle w:val="ListBullet"/>
      </w:pPr>
      <w:r w:rsidRPr="007A47FA">
        <w:t xml:space="preserve">perform the activities outlined in the performance criteria of this unit during a period of 240 hours of work related to hospital or health services pharmacy support in a clinical workplace </w:t>
      </w:r>
      <w:r w:rsidRPr="007A47FA">
        <w:t>environment. These 240 hours may be applied collectively across all units of competency that include the requirement for workplace hours for the purposes of assessment.</w:t>
      </w:r>
    </w:p>
    <w:p w:rsidR="00000000" w:rsidRPr="007A47FA" w:rsidP="007A47FA">
      <w:pPr>
        <w:pStyle w:val="AllowPageBreak"/>
      </w:pPr>
    </w:p>
    <w:p w:rsidR="00000000" w:rsidRPr="007A47FA" w:rsidP="007A47FA">
      <w:pPr>
        <w:pStyle w:val="Heading1"/>
      </w:pPr>
      <w:bookmarkStart w:id="12" w:name="O_1225679"/>
      <w:bookmarkEnd w:id="12"/>
      <w:r w:rsidRPr="007A47FA">
        <w:t>Knowledge Evidence</w:t>
      </w:r>
    </w:p>
    <w:p w:rsidR="00000000" w:rsidRPr="007A47FA" w:rsidP="00C90D35">
      <w:pPr>
        <w:pStyle w:val="BodyText"/>
      </w:pPr>
      <w:r w:rsidRPr="007A47FA">
        <w:t>Demonstrated knowledge required to complete the t</w:t>
      </w:r>
      <w:r w:rsidRPr="007A47FA">
        <w:t>asks outlined in elements and performance criteria of this unit:</w:t>
      </w:r>
    </w:p>
    <w:p w:rsidR="00000000" w:rsidRPr="007A47FA" w:rsidP="007A47FA">
      <w:pPr>
        <w:pStyle w:val="ListBullet"/>
      </w:pPr>
      <w:r w:rsidRPr="007A47FA">
        <w:t>understand information about analgesics including:</w:t>
      </w:r>
    </w:p>
    <w:p w:rsidR="00000000" w:rsidRPr="007A47FA" w:rsidP="007A47FA">
      <w:pPr>
        <w:pStyle w:val="ListBullet2"/>
      </w:pPr>
      <w:r w:rsidRPr="007A47FA">
        <w:t>main types of pain</w:t>
      </w:r>
    </w:p>
    <w:p w:rsidR="00000000" w:rsidRPr="007A47FA" w:rsidP="007A47FA">
      <w:pPr>
        <w:pStyle w:val="ListBullet2"/>
      </w:pPr>
      <w:r w:rsidRPr="007A47FA">
        <w:t>common agents used to manage pain</w:t>
      </w:r>
    </w:p>
    <w:p w:rsidR="00000000" w:rsidRPr="007A47FA" w:rsidP="007A47FA">
      <w:pPr>
        <w:pStyle w:val="ListBullet2"/>
      </w:pPr>
      <w:r w:rsidRPr="007A47FA">
        <w:t>uses and limitations of medication applied to manage pain</w:t>
      </w:r>
    </w:p>
    <w:p w:rsidR="00000000" w:rsidRPr="007A47FA" w:rsidP="007A47FA">
      <w:pPr>
        <w:pStyle w:val="ListBullet2"/>
      </w:pPr>
      <w:r w:rsidRPr="007A47FA">
        <w:t>common adverse reactions of</w:t>
      </w:r>
      <w:r w:rsidRPr="007A47FA">
        <w:t xml:space="preserve"> medication used to manage pain</w:t>
      </w:r>
    </w:p>
    <w:p w:rsidR="00000000" w:rsidRPr="007A47FA" w:rsidP="007A47FA">
      <w:pPr>
        <w:pStyle w:val="ListBullet2"/>
      </w:pPr>
      <w:r w:rsidRPr="007A47FA">
        <w:t>pharmacological and non-pharmacological methods to manage adverse effects</w:t>
      </w:r>
    </w:p>
    <w:p w:rsidR="00000000" w:rsidRPr="007A47FA" w:rsidP="007A47FA">
      <w:pPr>
        <w:pStyle w:val="ListBullet2"/>
      </w:pPr>
      <w:r w:rsidRPr="007A47FA">
        <w:t>conditions or adverse reactions to medication that requires referral to a trained health care professional</w:t>
      </w:r>
    </w:p>
    <w:p w:rsidR="00000000" w:rsidRPr="007A47FA" w:rsidP="007A47FA">
      <w:pPr>
        <w:pStyle w:val="ListBullet2"/>
      </w:pPr>
      <w:r w:rsidRPr="007A47FA">
        <w:t>relevant legislation, regulations and ethical codes relating to medication dispensing</w:t>
      </w:r>
    </w:p>
    <w:p w:rsidR="00000000" w:rsidRPr="007A47FA" w:rsidP="007A47FA">
      <w:pPr>
        <w:pStyle w:val="ListBullet"/>
      </w:pPr>
      <w:r w:rsidRPr="007A47FA">
        <w:t>standard pharmaceutical references, including:</w:t>
      </w:r>
    </w:p>
    <w:p w:rsidR="00000000" w:rsidRPr="007A47FA" w:rsidP="007A47FA">
      <w:pPr>
        <w:pStyle w:val="ListBullet2"/>
      </w:pPr>
      <w:r w:rsidRPr="007A47FA">
        <w:t>Australian Medicines Handbook (AMH)</w:t>
      </w:r>
    </w:p>
    <w:p w:rsidR="00000000" w:rsidRPr="007A47FA" w:rsidP="007A47FA">
      <w:pPr>
        <w:pStyle w:val="ListBullet2"/>
      </w:pPr>
      <w:r w:rsidRPr="007A47FA">
        <w:t>Australian Pharmaceutical Formulary Handbook (APF)</w:t>
      </w:r>
    </w:p>
    <w:p w:rsidR="00000000" w:rsidRPr="007A47FA" w:rsidP="007A47FA">
      <w:pPr>
        <w:pStyle w:val="ListBullet2"/>
      </w:pPr>
      <w:r w:rsidRPr="007A47FA">
        <w:t>Monthly Index of Medical Specialit</w:t>
      </w:r>
      <w:r w:rsidRPr="007A47FA">
        <w:t>ies (MIMS) or AusDI Advanced</w:t>
      </w:r>
    </w:p>
    <w:p w:rsidR="00000000" w:rsidRPr="007A47FA" w:rsidP="007A47FA">
      <w:pPr>
        <w:pStyle w:val="ListBullet2"/>
      </w:pPr>
      <w:r w:rsidRPr="007A47FA">
        <w:t>Micromedex</w:t>
      </w:r>
    </w:p>
    <w:p w:rsidR="00000000" w:rsidRPr="007A47FA" w:rsidP="007A47FA">
      <w:pPr>
        <w:pStyle w:val="ListBullet"/>
      </w:pPr>
      <w:r w:rsidRPr="007A47FA">
        <w:t>relevant National, State or Territory regulatory and legislative requirements</w:t>
      </w:r>
    </w:p>
    <w:p w:rsidR="00000000" w:rsidRPr="007A47FA" w:rsidP="007A47FA">
      <w:pPr>
        <w:pStyle w:val="ListBullet"/>
      </w:pPr>
      <w:r w:rsidRPr="007A47FA">
        <w:t>legal responsibilities of providers of health care in relation to confidentiality, patient rights, duty of care and implications of negli</w:t>
      </w:r>
      <w:r w:rsidRPr="007A47FA">
        <w:t>gence</w:t>
      </w:r>
    </w:p>
    <w:p w:rsidR="00000000" w:rsidRPr="007A47FA" w:rsidP="007A47FA">
      <w:pPr>
        <w:pStyle w:val="ListBullet"/>
      </w:pPr>
      <w:r w:rsidRPr="007A47FA">
        <w:t>limitations of own work role including identification and referring of issues outside scope of own practice to an authorised person</w:t>
      </w:r>
    </w:p>
    <w:p w:rsidR="00000000" w:rsidRPr="007A47FA" w:rsidP="007A47FA">
      <w:pPr>
        <w:pStyle w:val="ListBullet"/>
      </w:pPr>
      <w:r w:rsidRPr="007A47FA">
        <w:t>Work Health and Safety (WHS) policies, guidelines and symbols and their relevance to dispensing medication</w:t>
      </w:r>
    </w:p>
    <w:p w:rsidR="00000000" w:rsidRPr="007A47FA" w:rsidP="007A47FA">
      <w:pPr>
        <w:pStyle w:val="ListBullet"/>
      </w:pPr>
      <w:r w:rsidRPr="007A47FA">
        <w:t>key aspects</w:t>
      </w:r>
      <w:r w:rsidRPr="007A47FA">
        <w:t xml:space="preserve"> of analgesia, including:</w:t>
      </w:r>
    </w:p>
    <w:p w:rsidR="00000000" w:rsidRPr="007A47FA" w:rsidP="007A47FA">
      <w:pPr>
        <w:pStyle w:val="ListBullet2"/>
      </w:pPr>
      <w:r w:rsidRPr="007A47FA">
        <w:t>types of pain:</w:t>
      </w:r>
    </w:p>
    <w:p w:rsidR="00000000" w:rsidRPr="007A47FA" w:rsidP="007A47FA">
      <w:pPr>
        <w:pStyle w:val="ListBullet3"/>
      </w:pPr>
      <w:r w:rsidRPr="007A47FA">
        <w:t>nociceptive</w:t>
      </w:r>
    </w:p>
    <w:p w:rsidR="00000000" w:rsidRPr="007A47FA" w:rsidP="007A47FA">
      <w:pPr>
        <w:pStyle w:val="ListBullet3"/>
      </w:pPr>
      <w:r w:rsidRPr="007A47FA">
        <w:t>neuropathic</w:t>
      </w:r>
    </w:p>
    <w:p w:rsidR="00000000" w:rsidRPr="007A47FA" w:rsidP="007A47FA">
      <w:pPr>
        <w:pStyle w:val="ListBullet"/>
      </w:pPr>
      <w:r w:rsidRPr="007A47FA">
        <w:t>basic pathophysiology</w:t>
      </w:r>
    </w:p>
    <w:p w:rsidR="00000000" w:rsidRPr="007A47FA" w:rsidP="007A47FA">
      <w:pPr>
        <w:pStyle w:val="ListBullet"/>
      </w:pPr>
      <w:r w:rsidRPr="007A47FA">
        <w:t>treatment aims</w:t>
      </w:r>
    </w:p>
    <w:p w:rsidR="00000000" w:rsidRPr="007A47FA" w:rsidP="007A47FA">
      <w:pPr>
        <w:pStyle w:val="ListBullet"/>
      </w:pPr>
      <w:r w:rsidRPr="007A47FA">
        <w:t>impact of the disease state on everyday living or function</w:t>
      </w:r>
    </w:p>
    <w:p w:rsidR="00000000" w:rsidRPr="007A47FA" w:rsidP="007A47FA">
      <w:pPr>
        <w:pStyle w:val="ListBullet"/>
      </w:pPr>
      <w:r w:rsidRPr="007A47FA">
        <w:t>the ability to take medications and strategies to mitigate inability to take medications</w:t>
      </w:r>
    </w:p>
    <w:p w:rsidR="00000000" w:rsidRPr="007A47FA" w:rsidP="007A47FA">
      <w:pPr>
        <w:pStyle w:val="ListBullet"/>
      </w:pPr>
      <w:r w:rsidRPr="007A47FA">
        <w:t>factors altering a person’s perception of pain, including:</w:t>
      </w:r>
    </w:p>
    <w:p w:rsidR="00000000" w:rsidRPr="007A47FA" w:rsidP="007A47FA">
      <w:pPr>
        <w:pStyle w:val="ListBullet2"/>
      </w:pPr>
      <w:r w:rsidRPr="007A47FA">
        <w:t>cultural issues</w:t>
      </w:r>
    </w:p>
    <w:p w:rsidR="00000000" w:rsidRPr="007A47FA" w:rsidP="007A47FA">
      <w:pPr>
        <w:pStyle w:val="ListBullet2"/>
      </w:pPr>
      <w:r w:rsidRPr="007A47FA">
        <w:t>prior experiences</w:t>
      </w:r>
    </w:p>
    <w:p w:rsidR="00000000" w:rsidRPr="007A47FA" w:rsidP="007A47FA">
      <w:pPr>
        <w:pStyle w:val="ListBullet2"/>
      </w:pPr>
      <w:r w:rsidRPr="007A47FA">
        <w:t>social factors</w:t>
      </w:r>
    </w:p>
    <w:p w:rsidR="00000000" w:rsidRPr="007A47FA" w:rsidP="007A47FA">
      <w:pPr>
        <w:pStyle w:val="ListBullet2"/>
      </w:pPr>
      <w:r w:rsidRPr="007A47FA">
        <w:t xml:space="preserve">physical symptoms </w:t>
      </w:r>
    </w:p>
    <w:p w:rsidR="00000000" w:rsidRPr="007A47FA" w:rsidP="007A47FA">
      <w:pPr>
        <w:pStyle w:val="ListBullet2"/>
      </w:pPr>
      <w:r w:rsidRPr="007A47FA">
        <w:t>psychological symptoms</w:t>
      </w:r>
    </w:p>
    <w:p w:rsidR="00000000" w:rsidRPr="007A47FA" w:rsidP="007A47FA">
      <w:pPr>
        <w:pStyle w:val="ListBullet2"/>
      </w:pPr>
      <w:r w:rsidRPr="007A47FA">
        <w:t>personal beliefs</w:t>
      </w:r>
    </w:p>
    <w:p w:rsidR="00000000" w:rsidRPr="007A47FA" w:rsidP="007A47FA">
      <w:pPr>
        <w:pStyle w:val="ListBullet"/>
      </w:pPr>
      <w:r w:rsidRPr="007A47FA">
        <w:t>prescribing considerations of analgesics, including:</w:t>
      </w:r>
    </w:p>
    <w:p w:rsidR="00000000" w:rsidRPr="007A47FA" w:rsidP="007A47FA">
      <w:pPr>
        <w:pStyle w:val="ListBullet2"/>
      </w:pPr>
      <w:r w:rsidRPr="007A47FA">
        <w:t>WHO analgesia ladder</w:t>
      </w:r>
    </w:p>
    <w:p w:rsidR="00000000" w:rsidRPr="007A47FA" w:rsidP="007A47FA">
      <w:pPr>
        <w:pStyle w:val="ListBullet2"/>
      </w:pPr>
      <w:r w:rsidRPr="007A47FA">
        <w:t>background a</w:t>
      </w:r>
      <w:r w:rsidRPr="007A47FA">
        <w:t>nalgesia</w:t>
      </w:r>
    </w:p>
    <w:p w:rsidR="00000000" w:rsidRPr="007A47FA" w:rsidP="007A47FA">
      <w:pPr>
        <w:pStyle w:val="ListBullet2"/>
      </w:pPr>
      <w:r w:rsidRPr="007A47FA">
        <w:t>breakthrough analgesia</w:t>
      </w:r>
    </w:p>
    <w:p w:rsidR="00000000" w:rsidRPr="007A47FA" w:rsidP="007A47FA">
      <w:pPr>
        <w:pStyle w:val="ListBullet2"/>
      </w:pPr>
      <w:r w:rsidRPr="007A47FA">
        <w:t>pre-emptive analgesia</w:t>
      </w:r>
    </w:p>
    <w:p w:rsidR="00000000" w:rsidRPr="007A47FA" w:rsidP="007A47FA">
      <w:pPr>
        <w:pStyle w:val="ListBullet"/>
      </w:pPr>
      <w:r w:rsidRPr="007A47FA">
        <w:t>available formulations of medications and routes of administration used to treat pain, including:</w:t>
      </w:r>
    </w:p>
    <w:p w:rsidR="00000000" w:rsidRPr="007A47FA" w:rsidP="007A47FA">
      <w:pPr>
        <w:pStyle w:val="ListBullet2"/>
      </w:pPr>
      <w:r w:rsidRPr="007A47FA">
        <w:t>tablets</w:t>
      </w:r>
    </w:p>
    <w:p w:rsidR="00000000" w:rsidRPr="007A47FA" w:rsidP="007A47FA">
      <w:pPr>
        <w:pStyle w:val="ListBullet2"/>
      </w:pPr>
      <w:r w:rsidRPr="007A47FA">
        <w:t>capsules</w:t>
      </w:r>
    </w:p>
    <w:p w:rsidR="00000000" w:rsidRPr="007A47FA" w:rsidP="007A47FA">
      <w:pPr>
        <w:pStyle w:val="ListBullet2"/>
      </w:pPr>
      <w:r w:rsidRPr="007A47FA">
        <w:t>oral liquids</w:t>
      </w:r>
    </w:p>
    <w:p w:rsidR="00000000" w:rsidRPr="007A47FA" w:rsidP="007A47FA">
      <w:pPr>
        <w:pStyle w:val="ListBullet2"/>
      </w:pPr>
      <w:r w:rsidRPr="007A47FA">
        <w:t>patches</w:t>
      </w:r>
    </w:p>
    <w:p w:rsidR="00000000" w:rsidRPr="007A47FA" w:rsidP="007A47FA">
      <w:pPr>
        <w:pStyle w:val="ListBullet2"/>
      </w:pPr>
      <w:r w:rsidRPr="007A47FA">
        <w:t>creams</w:t>
      </w:r>
    </w:p>
    <w:p w:rsidR="00000000" w:rsidRPr="007A47FA" w:rsidP="007A47FA">
      <w:pPr>
        <w:pStyle w:val="ListBullet2"/>
      </w:pPr>
      <w:r w:rsidRPr="007A47FA">
        <w:t>suppositories</w:t>
      </w:r>
    </w:p>
    <w:p w:rsidR="00000000" w:rsidRPr="007A47FA" w:rsidP="007A47FA">
      <w:pPr>
        <w:pStyle w:val="ListBullet2"/>
      </w:pPr>
      <w:r w:rsidRPr="007A47FA">
        <w:t>sublingual</w:t>
      </w:r>
    </w:p>
    <w:p w:rsidR="00000000" w:rsidRPr="007A47FA" w:rsidP="007A47FA">
      <w:pPr>
        <w:pStyle w:val="ListBullet2"/>
      </w:pPr>
      <w:r w:rsidRPr="007A47FA">
        <w:t>intravenous or subcutaneous</w:t>
      </w:r>
    </w:p>
    <w:p w:rsidR="00000000" w:rsidRPr="007A47FA" w:rsidP="007A47FA">
      <w:pPr>
        <w:pStyle w:val="ListBullet2"/>
      </w:pPr>
      <w:r w:rsidRPr="007A47FA">
        <w:t>oral</w:t>
      </w:r>
    </w:p>
    <w:p w:rsidR="00000000" w:rsidRPr="007A47FA" w:rsidP="007A47FA">
      <w:pPr>
        <w:pStyle w:val="ListBullet"/>
      </w:pPr>
      <w:r w:rsidRPr="007A47FA">
        <w:t>risks associated with opioid medications, including:</w:t>
      </w:r>
    </w:p>
    <w:p w:rsidR="00000000" w:rsidRPr="007A47FA" w:rsidP="007A47FA">
      <w:pPr>
        <w:pStyle w:val="ListBullet2"/>
      </w:pPr>
      <w:r w:rsidRPr="007A47FA">
        <w:t>dependence</w:t>
      </w:r>
    </w:p>
    <w:p w:rsidR="00000000" w:rsidRPr="007A47FA" w:rsidP="007A47FA">
      <w:pPr>
        <w:pStyle w:val="ListBullet2"/>
      </w:pPr>
      <w:r w:rsidRPr="007A47FA">
        <w:t>addiction</w:t>
      </w:r>
    </w:p>
    <w:p w:rsidR="00000000" w:rsidRPr="007A47FA" w:rsidP="007A47FA">
      <w:pPr>
        <w:pStyle w:val="ListBullet2"/>
      </w:pPr>
      <w:r w:rsidRPr="007A47FA">
        <w:t>diversion or misuse</w:t>
      </w:r>
    </w:p>
    <w:p w:rsidR="00000000" w:rsidRPr="007A47FA" w:rsidP="007A47FA">
      <w:pPr>
        <w:pStyle w:val="ListBullet2"/>
      </w:pPr>
      <w:r w:rsidRPr="007A47FA">
        <w:t>overdose</w:t>
      </w:r>
    </w:p>
    <w:p w:rsidR="00000000" w:rsidRPr="007A47FA" w:rsidP="007A47FA">
      <w:pPr>
        <w:pStyle w:val="ListBullet"/>
      </w:pPr>
      <w:r w:rsidRPr="007A47FA">
        <w:t>common medications and medication classes used to treat pain</w:t>
      </w:r>
    </w:p>
    <w:p w:rsidR="00000000" w:rsidRPr="007A47FA" w:rsidP="007A47FA">
      <w:pPr>
        <w:pStyle w:val="ListBullet"/>
      </w:pPr>
      <w:r w:rsidRPr="007A47FA">
        <w:t>common side effects of medications used to treat pain and how to manage these side effects</w:t>
      </w:r>
    </w:p>
    <w:p w:rsidR="00000000" w:rsidRPr="007A47FA" w:rsidP="007A47FA">
      <w:pPr>
        <w:pStyle w:val="ListBullet"/>
      </w:pPr>
      <w:r w:rsidRPr="007A47FA">
        <w:t>legal scheduling of each of the common medications used to treat pain</w:t>
      </w:r>
    </w:p>
    <w:p w:rsidR="00000000" w:rsidRPr="007A47FA" w:rsidP="007A47FA">
      <w:pPr>
        <w:pStyle w:val="ListBullet"/>
      </w:pPr>
      <w:r w:rsidRPr="007A47FA">
        <w:t>information that should be conveyed to patients, including:</w:t>
      </w:r>
    </w:p>
    <w:p w:rsidR="00000000" w:rsidRPr="007A47FA" w:rsidP="007A47FA">
      <w:pPr>
        <w:pStyle w:val="ListBullet2"/>
      </w:pPr>
      <w:r w:rsidRPr="007A47FA">
        <w:t>generic and brand names of the med</w:t>
      </w:r>
      <w:r w:rsidRPr="007A47FA">
        <w:t>ications</w:t>
      </w:r>
    </w:p>
    <w:p w:rsidR="00000000" w:rsidRPr="007A47FA" w:rsidP="007A47FA">
      <w:pPr>
        <w:pStyle w:val="ListBullet2"/>
      </w:pPr>
      <w:r w:rsidRPr="007A47FA">
        <w:t>intended purpose and expected action or duration of treatment.</w:t>
      </w:r>
    </w:p>
    <w:p w:rsidR="00000000" w:rsidRPr="007A47FA" w:rsidP="007A47FA">
      <w:pPr>
        <w:pStyle w:val="AllowPageBreak"/>
      </w:pPr>
    </w:p>
    <w:p w:rsidR="00000000" w:rsidRPr="007A47FA" w:rsidP="007A47FA">
      <w:pPr>
        <w:pStyle w:val="Heading1"/>
      </w:pPr>
      <w:bookmarkStart w:id="13" w:name="O_1225680"/>
      <w:bookmarkEnd w:id="13"/>
      <w:r w:rsidRPr="007A47FA">
        <w:t>Assessment Conditions</w:t>
      </w:r>
    </w:p>
    <w:p w:rsidR="00000000" w:rsidRPr="007A47FA" w:rsidP="00C90D35">
      <w:pPr>
        <w:pStyle w:val="BodyText"/>
      </w:pPr>
      <w:r w:rsidRPr="007A47FA">
        <w:t>Skills must be demonstrated in the workplace with the addition of simulations and scenarios where the full range of contexts and situations hav</w:t>
      </w:r>
      <w:r w:rsidRPr="007A47FA">
        <w:t>e not been provided in the workplace.</w:t>
      </w:r>
    </w:p>
    <w:p w:rsidR="00000000" w:rsidRPr="007A47FA" w:rsidP="00C90D35">
      <w:pPr>
        <w:pStyle w:val="BodyText"/>
      </w:pPr>
      <w:r w:rsidRPr="007A47FA">
        <w:t>Assessment must ensure access to:</w:t>
      </w:r>
    </w:p>
    <w:p w:rsidR="00000000" w:rsidRPr="007A47FA" w:rsidP="007A47FA">
      <w:pPr>
        <w:pStyle w:val="ListBullet"/>
      </w:pPr>
      <w:r w:rsidRPr="007A47FA">
        <w:t>use of suitable facilities, equipment and resources including access to:</w:t>
      </w:r>
    </w:p>
    <w:p w:rsidR="00000000" w:rsidRPr="007A47FA" w:rsidP="007A47FA">
      <w:pPr>
        <w:pStyle w:val="ListBullet2"/>
      </w:pPr>
      <w:r w:rsidRPr="007A47FA">
        <w:t>relevant legislation, regulations and guidelines</w:t>
      </w:r>
    </w:p>
    <w:p w:rsidR="00000000" w:rsidRPr="007A47FA" w:rsidP="007A47FA">
      <w:pPr>
        <w:pStyle w:val="ListBullet2"/>
      </w:pPr>
      <w:r w:rsidRPr="007A47FA">
        <w:t>medicine information and resources on analgesics</w:t>
      </w:r>
    </w:p>
    <w:p w:rsidR="00000000" w:rsidRPr="007A47FA" w:rsidP="007A47FA">
      <w:pPr>
        <w:pStyle w:val="ListBullet"/>
      </w:pPr>
      <w:r w:rsidRPr="007A47FA">
        <w:t>authorised person with whom to consult.</w:t>
      </w:r>
    </w:p>
    <w:p w:rsidR="00000000" w:rsidRPr="007A47FA" w:rsidP="00C90D35">
      <w:pPr>
        <w:pStyle w:val="BodyText"/>
      </w:pPr>
      <w:r w:rsidRPr="007A47FA">
        <w:t>Assessors must satisfy the Standards for Registered Training Organisations’ requirements for assessors.</w:t>
      </w:r>
    </w:p>
    <w:p w:rsidR="00000000" w:rsidRPr="007A47FA" w:rsidP="007A47FA">
      <w:pPr>
        <w:pStyle w:val="Heading1"/>
      </w:pPr>
      <w:bookmarkStart w:id="14" w:name="O_1225683"/>
      <w:bookmarkEnd w:id="14"/>
      <w:r w:rsidRPr="007A47FA">
        <w:t>Links</w:t>
      </w:r>
    </w:p>
    <w:p w:rsidR="00000000" w:rsidRPr="007A47FA" w:rsidP="00C90D35">
      <w:pPr>
        <w:pStyle w:val="BodyText"/>
      </w:pPr>
      <w:r w:rsidRPr="007A47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D77D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A47FA" w:rsidP="007A47FA"/>
    <w:sectPr w:rsidSect="007A47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 w:rsidRPr="00C90D35" w:rsidP="00C90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35" w:rsidP="007A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90D35" w:rsidP="007A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90D35" w:rsidP="007A47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 w:rsidP="007A4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0D35">
      <w:t>Approved</w:t>
    </w:r>
    <w:r w:rsidR="00C90D3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0D3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0D35">
      <w:rPr>
        <w:noProof/>
      </w:rPr>
      <w:t>5</w:t>
    </w:r>
    <w:r>
      <w:rPr>
        <w:noProof/>
      </w:rPr>
      <w:fldChar w:fldCharType="end"/>
    </w:r>
  </w:p>
  <w:p w:rsidR="007A47FA" w:rsidP="007A4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0D3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0D35">
      <w:t>HumanAbility</w:t>
    </w:r>
    <w:r w:rsidR="00C90D35">
      <w:fldChar w:fldCharType="end"/>
    </w:r>
  </w:p>
  <w:p w:rsidR="007A47FA" w:rsidP="007A4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7FA" w:rsidRPr="00C90D35" w:rsidP="00C90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D35" w:rsidRPr="002D2AF8" w:rsidP="007A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HLTPHA030 Apply knowledge of medications used to provide analgesia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0D35" w:rsidP="007A47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7FA" w:rsidRPr="002D2AF8" w:rsidP="007A4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0D35">
      <w:t>HLTPHA030 Apply knowledge of medications used to provide analgesia</w:t>
    </w:r>
    <w:r w:rsidR="00C90D3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0D35">
      <w:rPr>
        <w:noProof/>
      </w:rPr>
      <w:t>2 March 2025</w:t>
    </w:r>
    <w:r>
      <w:fldChar w:fldCharType="end"/>
    </w:r>
  </w:p>
  <w:p w:rsidR="007A47FA" w:rsidP="007A4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2C7E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0D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1097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7FA"/>
  </w:style>
  <w:style w:type="character" w:customStyle="1" w:styleId="Heading1Char">
    <w:name w:val="Heading 1 Char"/>
    <w:basedOn w:val="DefaultParagraphFont"/>
    <w:link w:val="Heading1"/>
    <w:rsid w:val="007A4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7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A47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47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7FA"/>
    <w:rPr>
      <w:b/>
      <w:spacing w:val="0"/>
    </w:rPr>
  </w:style>
  <w:style w:type="paragraph" w:styleId="ListBullet2">
    <w:name w:val="List Bullet 2"/>
    <w:basedOn w:val="List2"/>
    <w:rsid w:val="007A47F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47FA"/>
    <w:rPr>
      <w:i/>
    </w:rPr>
  </w:style>
  <w:style w:type="paragraph" w:customStyle="1" w:styleId="SuperHeading">
    <w:name w:val="SuperHeading"/>
    <w:basedOn w:val="Normal"/>
    <w:rsid w:val="007A4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A47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A4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7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A4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7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7FA"/>
  </w:style>
  <w:style w:type="paragraph" w:styleId="TableofFigures">
    <w:name w:val="table of figures"/>
    <w:basedOn w:val="Normal"/>
    <w:next w:val="Normal"/>
    <w:semiHidden/>
    <w:rsid w:val="007A4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7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A47FA"/>
    <w:rPr>
      <w:rFonts w:ascii="Wingdings" w:hAnsi="Wingdings"/>
    </w:rPr>
  </w:style>
  <w:style w:type="paragraph" w:customStyle="1" w:styleId="TableHeading">
    <w:name w:val="Table Heading"/>
    <w:basedOn w:val="HeadingBase"/>
    <w:rsid w:val="007A4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7FA"/>
    <w:rPr>
      <w:color w:val="0033CC"/>
      <w:u w:val="none"/>
    </w:rPr>
  </w:style>
  <w:style w:type="paragraph" w:customStyle="1" w:styleId="BodyTextRight">
    <w:name w:val="Body Text Right"/>
    <w:basedOn w:val="BodyText"/>
    <w:rsid w:val="007A4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7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7FA"/>
    <w:rPr>
      <w:sz w:val="32"/>
    </w:rPr>
  </w:style>
  <w:style w:type="paragraph" w:customStyle="1" w:styleId="HeadingProcedure">
    <w:name w:val="Heading Procedure"/>
    <w:basedOn w:val="HeadingBase"/>
    <w:next w:val="Normal"/>
    <w:rsid w:val="007A4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7FA"/>
    <w:pPr>
      <w:spacing w:before="60" w:after="60"/>
    </w:pPr>
  </w:style>
  <w:style w:type="paragraph" w:styleId="ListContinue">
    <w:name w:val="List Continue"/>
    <w:basedOn w:val="List"/>
    <w:rsid w:val="007A47FA"/>
    <w:pPr>
      <w:ind w:firstLine="0"/>
    </w:pPr>
  </w:style>
  <w:style w:type="paragraph" w:customStyle="1" w:styleId="ListNote">
    <w:name w:val="List Note"/>
    <w:basedOn w:val="List"/>
    <w:rsid w:val="007A4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7FA"/>
    <w:rPr>
      <w:rFonts w:ascii="Courier New" w:hAnsi="Courier New"/>
    </w:rPr>
  </w:style>
  <w:style w:type="paragraph" w:customStyle="1" w:styleId="NoteBullet">
    <w:name w:val="Note Bullet"/>
    <w:basedOn w:val="Note"/>
    <w:rsid w:val="007A4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7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4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7FA"/>
    <w:rPr>
      <w:b/>
      <w:smallCaps/>
    </w:rPr>
  </w:style>
  <w:style w:type="paragraph" w:customStyle="1" w:styleId="TableListNumber">
    <w:name w:val="Table List Number"/>
    <w:basedOn w:val="ListNumber"/>
    <w:rsid w:val="007A4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7FA"/>
    <w:pPr>
      <w:numPr>
        <w:numId w:val="10"/>
      </w:numPr>
    </w:pPr>
  </w:style>
  <w:style w:type="paragraph" w:customStyle="1" w:styleId="ListAlpha2">
    <w:name w:val="List Alpha 2"/>
    <w:basedOn w:val="List2"/>
    <w:rsid w:val="007A47FA"/>
    <w:pPr>
      <w:numPr>
        <w:numId w:val="9"/>
      </w:numPr>
    </w:pPr>
  </w:style>
  <w:style w:type="paragraph" w:styleId="List2">
    <w:name w:val="List 2"/>
    <w:basedOn w:val="BodyText"/>
    <w:rsid w:val="007A4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7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A47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A47FA"/>
    <w:pPr>
      <w:numPr>
        <w:numId w:val="5"/>
      </w:numPr>
    </w:pPr>
  </w:style>
  <w:style w:type="paragraph" w:styleId="ListContinue2">
    <w:name w:val="List Continue 2"/>
    <w:basedOn w:val="List2"/>
    <w:rsid w:val="007A47FA"/>
    <w:pPr>
      <w:ind w:firstLine="0"/>
    </w:pPr>
  </w:style>
  <w:style w:type="paragraph" w:styleId="ListContinue3">
    <w:name w:val="List Continue 3"/>
    <w:basedOn w:val="List3"/>
    <w:rsid w:val="007A47FA"/>
    <w:pPr>
      <w:ind w:left="1021" w:firstLine="0"/>
    </w:pPr>
  </w:style>
  <w:style w:type="paragraph" w:styleId="ListContinue4">
    <w:name w:val="List Continue 4"/>
    <w:basedOn w:val="List4"/>
    <w:rsid w:val="007A47FA"/>
    <w:pPr>
      <w:ind w:firstLine="0"/>
    </w:pPr>
  </w:style>
  <w:style w:type="paragraph" w:styleId="ListContinue5">
    <w:name w:val="List Continue 5"/>
    <w:basedOn w:val="List5"/>
    <w:rsid w:val="007A47FA"/>
    <w:pPr>
      <w:ind w:firstLine="0"/>
    </w:pPr>
  </w:style>
  <w:style w:type="paragraph" w:styleId="ListNumber3">
    <w:name w:val="List Number 3"/>
    <w:basedOn w:val="List3"/>
    <w:rsid w:val="007A47FA"/>
    <w:pPr>
      <w:numPr>
        <w:numId w:val="6"/>
      </w:numPr>
    </w:pPr>
  </w:style>
  <w:style w:type="paragraph" w:styleId="ListNumber4">
    <w:name w:val="List Number 4"/>
    <w:basedOn w:val="List4"/>
    <w:rsid w:val="007A47FA"/>
    <w:pPr>
      <w:numPr>
        <w:numId w:val="7"/>
      </w:numPr>
    </w:pPr>
  </w:style>
  <w:style w:type="paragraph" w:styleId="ListNumber5">
    <w:name w:val="List Number 5"/>
    <w:basedOn w:val="List5"/>
    <w:rsid w:val="007A47FA"/>
    <w:pPr>
      <w:numPr>
        <w:numId w:val="8"/>
      </w:numPr>
    </w:pPr>
  </w:style>
  <w:style w:type="paragraph" w:styleId="BlockText">
    <w:name w:val="Block Text"/>
    <w:basedOn w:val="Normal"/>
    <w:rsid w:val="007A4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7FA"/>
    <w:rPr>
      <w:sz w:val="16"/>
      <w:vertAlign w:val="superscript"/>
    </w:rPr>
  </w:style>
  <w:style w:type="character" w:customStyle="1" w:styleId="Symbols">
    <w:name w:val="Symbols"/>
    <w:basedOn w:val="DefaultParagraphFont"/>
    <w:rsid w:val="007A47FA"/>
    <w:rPr>
      <w:rFonts w:ascii="Symbol" w:hAnsi="Symbol"/>
    </w:rPr>
  </w:style>
  <w:style w:type="character" w:customStyle="1" w:styleId="MenuOptions">
    <w:name w:val="Menu Options"/>
    <w:basedOn w:val="DefaultParagraphFont"/>
    <w:rsid w:val="007A4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7FA"/>
    <w:rPr>
      <w:b/>
    </w:rPr>
  </w:style>
  <w:style w:type="character" w:customStyle="1" w:styleId="Underlined">
    <w:name w:val="Underlined"/>
    <w:basedOn w:val="DefaultParagraphFont"/>
    <w:rsid w:val="007A47FA"/>
    <w:rPr>
      <w:u w:val="single"/>
    </w:rPr>
  </w:style>
  <w:style w:type="paragraph" w:customStyle="1" w:styleId="TableBodyTextRight">
    <w:name w:val="Table Body Text Right"/>
    <w:basedOn w:val="TableBodyText"/>
    <w:rsid w:val="007A4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7FA"/>
    <w:rPr>
      <w:sz w:val="18"/>
    </w:rPr>
  </w:style>
  <w:style w:type="paragraph" w:customStyle="1" w:styleId="BodySmallRight">
    <w:name w:val="Body Small Right"/>
    <w:basedOn w:val="BodyTextRight"/>
    <w:rsid w:val="007A47FA"/>
    <w:rPr>
      <w:sz w:val="18"/>
      <w:szCs w:val="18"/>
    </w:rPr>
  </w:style>
  <w:style w:type="paragraph" w:customStyle="1" w:styleId="MarginEdition">
    <w:name w:val="Margin Edition"/>
    <w:basedOn w:val="MarginNote"/>
    <w:rsid w:val="007A4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7FA"/>
    <w:rPr>
      <w:sz w:val="2"/>
      <w:szCs w:val="2"/>
    </w:rPr>
  </w:style>
  <w:style w:type="character" w:customStyle="1" w:styleId="Small">
    <w:name w:val="Small"/>
    <w:basedOn w:val="DefaultParagraphFont"/>
    <w:rsid w:val="007A47FA"/>
    <w:rPr>
      <w:sz w:val="16"/>
    </w:rPr>
  </w:style>
  <w:style w:type="paragraph" w:customStyle="1" w:styleId="WideTable">
    <w:name w:val="Wide Table"/>
    <w:basedOn w:val="Normal"/>
    <w:rsid w:val="007A4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7FA"/>
  </w:style>
  <w:style w:type="paragraph" w:styleId="Quote">
    <w:name w:val="Quote"/>
    <w:basedOn w:val="Heading1"/>
    <w:link w:val="QuoteChar"/>
    <w:qFormat/>
    <w:rsid w:val="007A4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7FA"/>
    <w:pPr>
      <w:pageBreakBefore/>
    </w:pPr>
  </w:style>
  <w:style w:type="paragraph" w:customStyle="1" w:styleId="Border">
    <w:name w:val="Border"/>
    <w:basedOn w:val="Normal"/>
    <w:qFormat/>
    <w:rsid w:val="007A4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7FA"/>
    <w:rPr>
      <w:u w:val="single"/>
    </w:rPr>
  </w:style>
  <w:style w:type="character" w:customStyle="1" w:styleId="BoldandItalics">
    <w:name w:val="Bold and Italics"/>
    <w:qFormat/>
    <w:rsid w:val="007A47FA"/>
    <w:rPr>
      <w:b/>
      <w:i/>
      <w:u w:val="none"/>
    </w:rPr>
  </w:style>
  <w:style w:type="paragraph" w:styleId="BalloonText">
    <w:name w:val="Balloon Text"/>
    <w:basedOn w:val="Normal"/>
    <w:link w:val="BalloonTextChar"/>
    <w:rsid w:val="007A4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7FA"/>
    <w:pPr>
      <w:spacing w:before="0" w:after="0"/>
    </w:pPr>
  </w:style>
  <w:style w:type="paragraph" w:customStyle="1" w:styleId="BodyTextBold">
    <w:name w:val="Body Text Bold"/>
    <w:basedOn w:val="BodyText"/>
    <w:qFormat/>
    <w:rsid w:val="007A47FA"/>
    <w:rPr>
      <w:b/>
    </w:rPr>
  </w:style>
  <w:style w:type="character" w:styleId="Hyperlink">
    <w:name w:val="Hyperlink"/>
    <w:basedOn w:val="DefaultParagraphFont"/>
    <w:uiPriority w:val="99"/>
    <w:unhideWhenUsed/>
    <w:rsid w:val="00C90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6368</Characters>
  <Application>Microsoft Office Word</Application>
  <DocSecurity>0</DocSecurity>
  <Lines>199</Lines>
  <Paragraphs>147</Paragraphs>
  <ScaleCrop>false</ScaleCrop>
  <Company>Author-it Software Corporation Ltd.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HLTPHA030 Apply knowledge of medications used to provide analgesia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2025-03-01T16:35:00Z</dcterms:created>
  <dcterms:modified xsi:type="dcterms:W3CDTF">2025-03-01T16:35:00Z</dcterms:modified>
</cp:coreProperties>
</file>