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125D" w:rsidP="008C12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HLTPHA030 Apply knowledge of medications used to provide analgesia</w:t>
      </w:r>
      <w:r>
        <w:fldChar w:fldCharType="end"/>
      </w:r>
    </w:p>
    <w:p w:rsidR="008C125D" w:rsidP="008C125D">
      <w:pPr>
        <w:pStyle w:val="Version"/>
        <w:sectPr w:rsidSect="007652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52B4" w:rsidP="007652B4">
      <w:pPr>
        <w:pStyle w:val="SuperHeading"/>
      </w:pPr>
      <w:r w:rsidRPr="007652B4">
        <w:t>Assessment Requirements for HLTPHA030 Apply knowledge of medications used to provide analgesia</w:t>
      </w:r>
    </w:p>
    <w:p w:rsidR="00000000" w:rsidRPr="007652B4" w:rsidP="007652B4">
      <w:pPr>
        <w:pStyle w:val="Heading1"/>
      </w:pPr>
      <w:bookmarkStart w:id="1" w:name="O_1225677"/>
      <w:bookmarkEnd w:id="1"/>
      <w:r w:rsidRPr="007652B4">
        <w:t>Modification History</w:t>
      </w:r>
    </w:p>
    <w:p w:rsidR="00000000" w:rsidRPr="007652B4" w:rsidP="008C125D">
      <w:pPr>
        <w:pStyle w:val="BodyText"/>
      </w:pPr>
      <w:r w:rsidRPr="007652B4">
        <w:t>Not applicable.</w:t>
      </w:r>
    </w:p>
    <w:p w:rsidR="00000000" w:rsidRPr="007652B4" w:rsidP="007652B4">
      <w:pPr>
        <w:pStyle w:val="Heading1"/>
      </w:pPr>
      <w:bookmarkStart w:id="2" w:name="O_1225678"/>
      <w:bookmarkEnd w:id="2"/>
      <w:r w:rsidRPr="007652B4">
        <w:t>Performance Evidence</w:t>
      </w:r>
    </w:p>
    <w:p w:rsidR="00000000" w:rsidRPr="007652B4" w:rsidP="008C125D">
      <w:pPr>
        <w:pStyle w:val="BodyText"/>
      </w:pPr>
      <w:r w:rsidRPr="007652B4">
        <w:t>Evidence of the</w:t>
      </w:r>
      <w:r w:rsidRPr="007652B4">
        <w:t xml:space="preserve"> ability to complete tasks outlined in elements and performance criteria of this unit in the context of the job role, and:</w:t>
      </w:r>
    </w:p>
    <w:p w:rsidR="00000000" w:rsidRPr="007652B4" w:rsidP="007652B4">
      <w:pPr>
        <w:pStyle w:val="ListBullet"/>
      </w:pPr>
      <w:r w:rsidRPr="007652B4">
        <w:t>prepare and dispense analgesic medication on at least 10 occasions and inform 10 patients, including:</w:t>
      </w:r>
    </w:p>
    <w:p w:rsidR="00000000" w:rsidRPr="007652B4" w:rsidP="007652B4">
      <w:pPr>
        <w:pStyle w:val="ListBullet2"/>
      </w:pPr>
      <w:r w:rsidRPr="007652B4">
        <w:t>identifying and sourcing info</w:t>
      </w:r>
      <w:r w:rsidRPr="007652B4">
        <w:t>rmation</w:t>
      </w:r>
    </w:p>
    <w:p w:rsidR="00000000" w:rsidRPr="007652B4" w:rsidP="007652B4">
      <w:pPr>
        <w:pStyle w:val="ListBullet2"/>
      </w:pPr>
      <w:r w:rsidRPr="007652B4">
        <w:t>screening, assessing and providing basic medication discharge information and instructions to patients regarding the use of analgesic medications</w:t>
      </w:r>
    </w:p>
    <w:p w:rsidR="00000000" w:rsidRPr="007652B4" w:rsidP="007652B4">
      <w:pPr>
        <w:pStyle w:val="ListBullet2"/>
      </w:pPr>
      <w:r w:rsidRPr="007652B4">
        <w:t>referral of enquiries outside scope of own practice to the pharmacist</w:t>
      </w:r>
    </w:p>
    <w:p w:rsidR="00000000" w:rsidRPr="007652B4" w:rsidP="007652B4">
      <w:pPr>
        <w:pStyle w:val="ListBullet2"/>
      </w:pPr>
      <w:r w:rsidRPr="007652B4">
        <w:t>confirmation of  medication disp</w:t>
      </w:r>
      <w:r w:rsidRPr="007652B4">
        <w:t>ensing with an authorised person</w:t>
      </w:r>
    </w:p>
    <w:p w:rsidR="00000000" w:rsidRPr="007652B4" w:rsidP="007652B4">
      <w:pPr>
        <w:pStyle w:val="ListBullet"/>
      </w:pPr>
      <w:r w:rsidRPr="007652B4">
        <w:t>perform the activities outlined in the performance criteria of this unit during a period of 240 hours of work related to hospital or health services pharmacy support in a clinical workplace environment. These 240 hours may</w:t>
      </w:r>
      <w:r w:rsidRPr="007652B4">
        <w:t xml:space="preserve"> be applied collectively across all units of competency that include the requirement for workplace hours for the purposes of assessment.</w:t>
      </w:r>
    </w:p>
    <w:p w:rsidR="00000000" w:rsidRPr="007652B4" w:rsidP="007652B4">
      <w:pPr>
        <w:pStyle w:val="AllowPageBreak"/>
      </w:pPr>
    </w:p>
    <w:p w:rsidR="00000000" w:rsidRPr="007652B4" w:rsidP="007652B4">
      <w:pPr>
        <w:pStyle w:val="Heading1"/>
      </w:pPr>
      <w:bookmarkStart w:id="3" w:name="O_1225679"/>
      <w:bookmarkEnd w:id="3"/>
      <w:r w:rsidRPr="007652B4">
        <w:t>Knowledge Evidence</w:t>
      </w:r>
    </w:p>
    <w:p w:rsidR="00000000" w:rsidRPr="007652B4" w:rsidP="008C125D">
      <w:pPr>
        <w:pStyle w:val="BodyText"/>
      </w:pPr>
      <w:r w:rsidRPr="007652B4">
        <w:t>Demonstrated knowledge required to complete the tasks outlined in elements and performance criteria of this unit:</w:t>
      </w:r>
    </w:p>
    <w:p w:rsidR="00000000" w:rsidRPr="007652B4" w:rsidP="007652B4">
      <w:pPr>
        <w:pStyle w:val="ListBullet"/>
      </w:pPr>
      <w:r w:rsidRPr="007652B4">
        <w:t>understand information about analgesics including:</w:t>
      </w:r>
    </w:p>
    <w:p w:rsidR="00000000" w:rsidRPr="007652B4" w:rsidP="007652B4">
      <w:pPr>
        <w:pStyle w:val="ListBullet2"/>
      </w:pPr>
      <w:r w:rsidRPr="007652B4">
        <w:t>main types of pain</w:t>
      </w:r>
    </w:p>
    <w:p w:rsidR="00000000" w:rsidRPr="007652B4" w:rsidP="007652B4">
      <w:pPr>
        <w:pStyle w:val="ListBullet2"/>
      </w:pPr>
      <w:r w:rsidRPr="007652B4">
        <w:t>common agents used to manage pain</w:t>
      </w:r>
    </w:p>
    <w:p w:rsidR="00000000" w:rsidRPr="007652B4" w:rsidP="007652B4">
      <w:pPr>
        <w:pStyle w:val="ListBullet2"/>
      </w:pPr>
      <w:r w:rsidRPr="007652B4">
        <w:t>uses and limitations of medication a</w:t>
      </w:r>
      <w:r w:rsidRPr="007652B4">
        <w:t>pplied to manage pain</w:t>
      </w:r>
    </w:p>
    <w:p w:rsidR="00000000" w:rsidRPr="007652B4" w:rsidP="007652B4">
      <w:pPr>
        <w:pStyle w:val="ListBullet2"/>
      </w:pPr>
      <w:r w:rsidRPr="007652B4">
        <w:t>common adverse reactions of medication used to manage pain</w:t>
      </w:r>
    </w:p>
    <w:p w:rsidR="00000000" w:rsidRPr="007652B4" w:rsidP="007652B4">
      <w:pPr>
        <w:pStyle w:val="ListBullet2"/>
      </w:pPr>
      <w:r w:rsidRPr="007652B4">
        <w:t>pharmacological and non-pharmacological methods to manage adverse effects</w:t>
      </w:r>
    </w:p>
    <w:p w:rsidR="00000000" w:rsidRPr="007652B4" w:rsidP="007652B4">
      <w:pPr>
        <w:pStyle w:val="ListBullet2"/>
      </w:pPr>
      <w:r w:rsidRPr="007652B4">
        <w:t>conditions or adverse reactions to medication that requires referral to a trained health care profess</w:t>
      </w:r>
      <w:r w:rsidRPr="007652B4">
        <w:t>ional</w:t>
      </w:r>
    </w:p>
    <w:p w:rsidR="00000000" w:rsidRPr="007652B4" w:rsidP="007652B4">
      <w:pPr>
        <w:pStyle w:val="ListBullet2"/>
      </w:pPr>
      <w:r w:rsidRPr="007652B4">
        <w:t>relevant legislation, regulations and ethical codes relating to medication dispensing</w:t>
      </w:r>
    </w:p>
    <w:p w:rsidR="00000000" w:rsidRPr="007652B4" w:rsidP="007652B4">
      <w:pPr>
        <w:pStyle w:val="ListBullet"/>
      </w:pPr>
      <w:r w:rsidRPr="007652B4">
        <w:t>standard pharmaceutical references, including:</w:t>
      </w:r>
    </w:p>
    <w:p w:rsidR="00000000" w:rsidRPr="007652B4" w:rsidP="007652B4">
      <w:pPr>
        <w:pStyle w:val="ListBullet2"/>
      </w:pPr>
      <w:r w:rsidRPr="007652B4">
        <w:t>Australian Medicines Handbook (AMH)</w:t>
      </w:r>
    </w:p>
    <w:p w:rsidR="00000000" w:rsidRPr="007652B4" w:rsidP="007652B4">
      <w:pPr>
        <w:pStyle w:val="ListBullet2"/>
      </w:pPr>
      <w:r w:rsidRPr="007652B4">
        <w:t>Australian Pharmaceutical Formulary Handbook (APF)</w:t>
      </w:r>
    </w:p>
    <w:p w:rsidR="00000000" w:rsidRPr="007652B4" w:rsidP="007652B4">
      <w:pPr>
        <w:pStyle w:val="ListBullet2"/>
      </w:pPr>
      <w:r w:rsidRPr="007652B4">
        <w:t>Monthly Index of Medical Spe</w:t>
      </w:r>
      <w:r w:rsidRPr="007652B4">
        <w:t>cialities (MIMS) or AusDI Advanced</w:t>
      </w:r>
    </w:p>
    <w:p w:rsidR="00000000" w:rsidRPr="007652B4" w:rsidP="007652B4">
      <w:pPr>
        <w:pStyle w:val="ListBullet2"/>
      </w:pPr>
      <w:r w:rsidRPr="007652B4">
        <w:t>Micromedex</w:t>
      </w:r>
    </w:p>
    <w:p w:rsidR="00000000" w:rsidRPr="007652B4" w:rsidP="007652B4">
      <w:pPr>
        <w:pStyle w:val="ListBullet"/>
      </w:pPr>
      <w:r w:rsidRPr="007652B4">
        <w:t>relevant National, State or Territory regulatory and legislative requirements</w:t>
      </w:r>
    </w:p>
    <w:p w:rsidR="00000000" w:rsidRPr="007652B4" w:rsidP="007652B4">
      <w:pPr>
        <w:pStyle w:val="ListBullet"/>
      </w:pPr>
      <w:r w:rsidRPr="007652B4">
        <w:t>legal responsibilities of providers of health care in relation to confidentiality, patient rights, duty of care and implications of negligence</w:t>
      </w:r>
    </w:p>
    <w:p w:rsidR="00000000" w:rsidRPr="007652B4" w:rsidP="007652B4">
      <w:pPr>
        <w:pStyle w:val="ListBullet"/>
      </w:pPr>
      <w:r w:rsidRPr="007652B4">
        <w:t>limitations of own work role including identification and referring of issues outside scope of own practice to an</w:t>
      </w:r>
      <w:r w:rsidRPr="007652B4">
        <w:t xml:space="preserve"> authorised person</w:t>
      </w:r>
    </w:p>
    <w:p w:rsidR="00000000" w:rsidRPr="007652B4" w:rsidP="007652B4">
      <w:pPr>
        <w:pStyle w:val="ListBullet"/>
      </w:pPr>
      <w:r w:rsidRPr="007652B4">
        <w:t>Work Health and Safety (WHS) policies, guidelines and symbols and their relevance to dispensing medication</w:t>
      </w:r>
    </w:p>
    <w:p w:rsidR="00000000" w:rsidRPr="007652B4" w:rsidP="007652B4">
      <w:pPr>
        <w:pStyle w:val="ListBullet"/>
      </w:pPr>
      <w:r w:rsidRPr="007652B4">
        <w:t>key aspects of analgesia, including:</w:t>
      </w:r>
    </w:p>
    <w:p w:rsidR="00000000" w:rsidRPr="007652B4" w:rsidP="007652B4">
      <w:pPr>
        <w:pStyle w:val="ListBullet2"/>
      </w:pPr>
      <w:r w:rsidRPr="007652B4">
        <w:t>types of pain:</w:t>
      </w:r>
    </w:p>
    <w:p w:rsidR="00000000" w:rsidRPr="007652B4" w:rsidP="007652B4">
      <w:pPr>
        <w:pStyle w:val="ListBullet3"/>
      </w:pPr>
      <w:r w:rsidRPr="007652B4">
        <w:t>nociceptive</w:t>
      </w:r>
    </w:p>
    <w:p w:rsidR="00000000" w:rsidRPr="007652B4" w:rsidP="007652B4">
      <w:pPr>
        <w:pStyle w:val="ListBullet3"/>
      </w:pPr>
      <w:r w:rsidRPr="007652B4">
        <w:t>neuropathic</w:t>
      </w:r>
    </w:p>
    <w:p w:rsidR="00000000" w:rsidRPr="007652B4" w:rsidP="007652B4">
      <w:pPr>
        <w:pStyle w:val="ListBullet"/>
      </w:pPr>
      <w:r w:rsidRPr="007652B4">
        <w:t>basic pathophysiology</w:t>
      </w:r>
    </w:p>
    <w:p w:rsidR="00000000" w:rsidRPr="007652B4" w:rsidP="007652B4">
      <w:pPr>
        <w:pStyle w:val="ListBullet"/>
      </w:pPr>
      <w:r w:rsidRPr="007652B4">
        <w:t>treatment aims</w:t>
      </w:r>
    </w:p>
    <w:p w:rsidR="00000000" w:rsidRPr="007652B4" w:rsidP="007652B4">
      <w:pPr>
        <w:pStyle w:val="ListBullet"/>
      </w:pPr>
      <w:r w:rsidRPr="007652B4">
        <w:t>impact of the disease state on everyday living or function</w:t>
      </w:r>
    </w:p>
    <w:p w:rsidR="00000000" w:rsidRPr="007652B4" w:rsidP="007652B4">
      <w:pPr>
        <w:pStyle w:val="ListBullet"/>
      </w:pPr>
      <w:r w:rsidRPr="007652B4">
        <w:t>the ability to take medications and strategies to mitigate inability to take medications</w:t>
      </w:r>
    </w:p>
    <w:p w:rsidR="00000000" w:rsidRPr="007652B4" w:rsidP="007652B4">
      <w:pPr>
        <w:pStyle w:val="ListBullet"/>
      </w:pPr>
      <w:r w:rsidRPr="007652B4">
        <w:t>factors altering a person’s perception of pain, including:</w:t>
      </w:r>
    </w:p>
    <w:p w:rsidR="00000000" w:rsidRPr="007652B4" w:rsidP="007652B4">
      <w:pPr>
        <w:pStyle w:val="ListBullet2"/>
      </w:pPr>
      <w:r w:rsidRPr="007652B4">
        <w:t>cultural issues</w:t>
      </w:r>
    </w:p>
    <w:p w:rsidR="00000000" w:rsidRPr="007652B4" w:rsidP="007652B4">
      <w:pPr>
        <w:pStyle w:val="ListBullet2"/>
      </w:pPr>
      <w:r w:rsidRPr="007652B4">
        <w:t>prior experiences</w:t>
      </w:r>
    </w:p>
    <w:p w:rsidR="00000000" w:rsidRPr="007652B4" w:rsidP="007652B4">
      <w:pPr>
        <w:pStyle w:val="ListBullet2"/>
      </w:pPr>
      <w:r w:rsidRPr="007652B4">
        <w:t>social factors</w:t>
      </w:r>
    </w:p>
    <w:p w:rsidR="00000000" w:rsidRPr="007652B4" w:rsidP="007652B4">
      <w:pPr>
        <w:pStyle w:val="ListBullet2"/>
      </w:pPr>
      <w:r w:rsidRPr="007652B4">
        <w:t xml:space="preserve">physical symptoms </w:t>
      </w:r>
    </w:p>
    <w:p w:rsidR="00000000" w:rsidRPr="007652B4" w:rsidP="007652B4">
      <w:pPr>
        <w:pStyle w:val="ListBullet2"/>
      </w:pPr>
      <w:r w:rsidRPr="007652B4">
        <w:t>psychological symptoms</w:t>
      </w:r>
    </w:p>
    <w:p w:rsidR="00000000" w:rsidRPr="007652B4" w:rsidP="007652B4">
      <w:pPr>
        <w:pStyle w:val="ListBullet2"/>
      </w:pPr>
      <w:r w:rsidRPr="007652B4">
        <w:t>personal beliefs</w:t>
      </w:r>
    </w:p>
    <w:p w:rsidR="00000000" w:rsidRPr="007652B4" w:rsidP="007652B4">
      <w:pPr>
        <w:pStyle w:val="ListBullet"/>
      </w:pPr>
      <w:r w:rsidRPr="007652B4">
        <w:t>prescribing considerations of analgesics, including:</w:t>
      </w:r>
    </w:p>
    <w:p w:rsidR="00000000" w:rsidRPr="007652B4" w:rsidP="007652B4">
      <w:pPr>
        <w:pStyle w:val="ListBullet2"/>
      </w:pPr>
      <w:r w:rsidRPr="007652B4">
        <w:t>WHO analgesia ladder</w:t>
      </w:r>
    </w:p>
    <w:p w:rsidR="00000000" w:rsidRPr="007652B4" w:rsidP="007652B4">
      <w:pPr>
        <w:pStyle w:val="ListBullet2"/>
      </w:pPr>
      <w:r w:rsidRPr="007652B4">
        <w:t>background analgesia</w:t>
      </w:r>
    </w:p>
    <w:p w:rsidR="00000000" w:rsidRPr="007652B4" w:rsidP="007652B4">
      <w:pPr>
        <w:pStyle w:val="ListBullet2"/>
      </w:pPr>
      <w:r w:rsidRPr="007652B4">
        <w:t>breakthrough analgesia</w:t>
      </w:r>
    </w:p>
    <w:p w:rsidR="00000000" w:rsidRPr="007652B4" w:rsidP="007652B4">
      <w:pPr>
        <w:pStyle w:val="ListBullet2"/>
      </w:pPr>
      <w:r w:rsidRPr="007652B4">
        <w:t>pre-emptive analgesia</w:t>
      </w:r>
    </w:p>
    <w:p w:rsidR="00000000" w:rsidRPr="007652B4" w:rsidP="007652B4">
      <w:pPr>
        <w:pStyle w:val="ListBullet"/>
      </w:pPr>
      <w:r w:rsidRPr="007652B4">
        <w:t>available formulations of medications and routes of a</w:t>
      </w:r>
      <w:r w:rsidRPr="007652B4">
        <w:t>dministration used to treat pain, including:</w:t>
      </w:r>
    </w:p>
    <w:p w:rsidR="00000000" w:rsidRPr="007652B4" w:rsidP="007652B4">
      <w:pPr>
        <w:pStyle w:val="ListBullet2"/>
      </w:pPr>
      <w:r w:rsidRPr="007652B4">
        <w:t>tablets</w:t>
      </w:r>
    </w:p>
    <w:p w:rsidR="00000000" w:rsidRPr="007652B4" w:rsidP="007652B4">
      <w:pPr>
        <w:pStyle w:val="ListBullet2"/>
      </w:pPr>
      <w:r w:rsidRPr="007652B4">
        <w:t>capsules</w:t>
      </w:r>
    </w:p>
    <w:p w:rsidR="00000000" w:rsidRPr="007652B4" w:rsidP="007652B4">
      <w:pPr>
        <w:pStyle w:val="ListBullet2"/>
      </w:pPr>
      <w:r w:rsidRPr="007652B4">
        <w:t>oral liquids</w:t>
      </w:r>
    </w:p>
    <w:p w:rsidR="00000000" w:rsidRPr="007652B4" w:rsidP="007652B4">
      <w:pPr>
        <w:pStyle w:val="ListBullet2"/>
      </w:pPr>
      <w:r w:rsidRPr="007652B4">
        <w:t>patches</w:t>
      </w:r>
    </w:p>
    <w:p w:rsidR="00000000" w:rsidRPr="007652B4" w:rsidP="007652B4">
      <w:pPr>
        <w:pStyle w:val="ListBullet2"/>
      </w:pPr>
      <w:r w:rsidRPr="007652B4">
        <w:t>creams</w:t>
      </w:r>
    </w:p>
    <w:p w:rsidR="00000000" w:rsidRPr="007652B4" w:rsidP="007652B4">
      <w:pPr>
        <w:pStyle w:val="ListBullet2"/>
      </w:pPr>
      <w:r w:rsidRPr="007652B4">
        <w:t>suppositories</w:t>
      </w:r>
    </w:p>
    <w:p w:rsidR="00000000" w:rsidRPr="007652B4" w:rsidP="007652B4">
      <w:pPr>
        <w:pStyle w:val="ListBullet2"/>
      </w:pPr>
      <w:r w:rsidRPr="007652B4">
        <w:t>sublingual</w:t>
      </w:r>
    </w:p>
    <w:p w:rsidR="00000000" w:rsidRPr="007652B4" w:rsidP="007652B4">
      <w:pPr>
        <w:pStyle w:val="ListBullet2"/>
      </w:pPr>
      <w:r w:rsidRPr="007652B4">
        <w:t>intravenous or subcutaneous</w:t>
      </w:r>
    </w:p>
    <w:p w:rsidR="00000000" w:rsidRPr="007652B4" w:rsidP="007652B4">
      <w:pPr>
        <w:pStyle w:val="ListBullet2"/>
      </w:pPr>
      <w:r w:rsidRPr="007652B4">
        <w:t>oral</w:t>
      </w:r>
    </w:p>
    <w:p w:rsidR="00000000" w:rsidRPr="007652B4" w:rsidP="007652B4">
      <w:pPr>
        <w:pStyle w:val="ListBullet"/>
      </w:pPr>
      <w:r w:rsidRPr="007652B4">
        <w:t>risks associated with opioid medications, including:</w:t>
      </w:r>
    </w:p>
    <w:p w:rsidR="00000000" w:rsidRPr="007652B4" w:rsidP="007652B4">
      <w:pPr>
        <w:pStyle w:val="ListBullet2"/>
      </w:pPr>
      <w:r w:rsidRPr="007652B4">
        <w:t>dependence</w:t>
      </w:r>
    </w:p>
    <w:p w:rsidR="00000000" w:rsidRPr="007652B4" w:rsidP="007652B4">
      <w:pPr>
        <w:pStyle w:val="ListBullet2"/>
      </w:pPr>
      <w:r w:rsidRPr="007652B4">
        <w:t>addiction</w:t>
      </w:r>
    </w:p>
    <w:p w:rsidR="00000000" w:rsidRPr="007652B4" w:rsidP="007652B4">
      <w:pPr>
        <w:pStyle w:val="ListBullet2"/>
      </w:pPr>
      <w:r w:rsidRPr="007652B4">
        <w:t>diversion or misuse</w:t>
      </w:r>
    </w:p>
    <w:p w:rsidR="00000000" w:rsidRPr="007652B4" w:rsidP="007652B4">
      <w:pPr>
        <w:pStyle w:val="ListBullet2"/>
      </w:pPr>
      <w:r w:rsidRPr="007652B4">
        <w:t>overdose</w:t>
      </w:r>
    </w:p>
    <w:p w:rsidR="00000000" w:rsidRPr="007652B4" w:rsidP="007652B4">
      <w:pPr>
        <w:pStyle w:val="ListBullet"/>
      </w:pPr>
      <w:r w:rsidRPr="007652B4">
        <w:t>common medications and medication classes used to treat pain</w:t>
      </w:r>
    </w:p>
    <w:p w:rsidR="00000000" w:rsidRPr="007652B4" w:rsidP="007652B4">
      <w:pPr>
        <w:pStyle w:val="ListBullet"/>
      </w:pPr>
      <w:r w:rsidRPr="007652B4">
        <w:t>common side effects of medications used to treat pain and how to manage these side effects</w:t>
      </w:r>
    </w:p>
    <w:p w:rsidR="00000000" w:rsidRPr="007652B4" w:rsidP="007652B4">
      <w:pPr>
        <w:pStyle w:val="ListBullet"/>
      </w:pPr>
      <w:r w:rsidRPr="007652B4">
        <w:t>legal scheduling of each of the common medications used to treat pain</w:t>
      </w:r>
    </w:p>
    <w:p w:rsidR="00000000" w:rsidRPr="007652B4" w:rsidP="007652B4">
      <w:pPr>
        <w:pStyle w:val="ListBullet"/>
      </w:pPr>
      <w:r w:rsidRPr="007652B4">
        <w:t>information that should be conveye</w:t>
      </w:r>
      <w:r w:rsidRPr="007652B4">
        <w:t>d to patients, including:</w:t>
      </w:r>
    </w:p>
    <w:p w:rsidR="00000000" w:rsidRPr="007652B4" w:rsidP="007652B4">
      <w:pPr>
        <w:pStyle w:val="ListBullet2"/>
      </w:pPr>
      <w:r w:rsidRPr="007652B4">
        <w:t>generic and brand names of the medications</w:t>
      </w:r>
    </w:p>
    <w:p w:rsidR="00000000" w:rsidRPr="007652B4" w:rsidP="007652B4">
      <w:pPr>
        <w:pStyle w:val="ListBullet2"/>
      </w:pPr>
      <w:r w:rsidRPr="007652B4">
        <w:t>intended purpose and expected action or duration of treatment.</w:t>
      </w:r>
    </w:p>
    <w:p w:rsidR="00000000" w:rsidRPr="007652B4" w:rsidP="007652B4">
      <w:pPr>
        <w:pStyle w:val="AllowPageBreak"/>
      </w:pPr>
    </w:p>
    <w:p w:rsidR="00000000" w:rsidRPr="007652B4" w:rsidP="007652B4">
      <w:pPr>
        <w:pStyle w:val="Heading1"/>
      </w:pPr>
      <w:bookmarkStart w:id="4" w:name="O_1225680"/>
      <w:bookmarkEnd w:id="4"/>
      <w:r w:rsidRPr="007652B4">
        <w:t>Assessment Conditions</w:t>
      </w:r>
    </w:p>
    <w:p w:rsidR="00000000" w:rsidRPr="007652B4" w:rsidP="008C125D">
      <w:pPr>
        <w:pStyle w:val="BodyText"/>
      </w:pPr>
      <w:r w:rsidRPr="007652B4">
        <w:t>Skills must be demonstrated in the workplace with the addition of simulations and scenarios where the full range of contexts and situations have not been provided in the workplace.</w:t>
      </w:r>
    </w:p>
    <w:p w:rsidR="00000000" w:rsidRPr="007652B4" w:rsidP="008C125D">
      <w:pPr>
        <w:pStyle w:val="BodyText"/>
      </w:pPr>
      <w:r w:rsidRPr="007652B4">
        <w:t>Assessment must ensure access to:</w:t>
      </w:r>
    </w:p>
    <w:p w:rsidR="00000000" w:rsidRPr="007652B4" w:rsidP="007652B4">
      <w:pPr>
        <w:pStyle w:val="ListBullet"/>
      </w:pPr>
      <w:r w:rsidRPr="007652B4">
        <w:t>use of suitable facilities, equipment an</w:t>
      </w:r>
      <w:r w:rsidRPr="007652B4">
        <w:t>d resources including access to:</w:t>
      </w:r>
    </w:p>
    <w:p w:rsidR="00000000" w:rsidRPr="007652B4" w:rsidP="007652B4">
      <w:pPr>
        <w:pStyle w:val="ListBullet2"/>
      </w:pPr>
      <w:r w:rsidRPr="007652B4">
        <w:t>relevant legislation, regulations and guidelines</w:t>
      </w:r>
    </w:p>
    <w:p w:rsidR="00000000" w:rsidRPr="007652B4" w:rsidP="007652B4">
      <w:pPr>
        <w:pStyle w:val="ListBullet2"/>
      </w:pPr>
      <w:r w:rsidRPr="007652B4">
        <w:t>medicine information and resources on analgesics</w:t>
      </w:r>
    </w:p>
    <w:p w:rsidR="00000000" w:rsidRPr="007652B4" w:rsidP="007652B4">
      <w:pPr>
        <w:pStyle w:val="ListBullet"/>
      </w:pPr>
      <w:r w:rsidRPr="007652B4">
        <w:t>authorised person with whom to consult.</w:t>
      </w:r>
    </w:p>
    <w:p w:rsidR="00000000" w:rsidRPr="007652B4" w:rsidP="008C125D">
      <w:pPr>
        <w:pStyle w:val="BodyText"/>
      </w:pPr>
      <w:r w:rsidRPr="007652B4">
        <w:t>Assessors must satisfy the Standards for Registered Training Organisations’ require</w:t>
      </w:r>
      <w:r w:rsidRPr="007652B4">
        <w:t>ments for assessors.</w:t>
      </w:r>
    </w:p>
    <w:p w:rsidR="00000000" w:rsidRPr="007652B4" w:rsidP="007652B4">
      <w:pPr>
        <w:pStyle w:val="Heading1"/>
      </w:pPr>
      <w:bookmarkStart w:id="5" w:name="O_1225683"/>
      <w:bookmarkEnd w:id="5"/>
      <w:r w:rsidRPr="007652B4">
        <w:t>Links</w:t>
      </w:r>
    </w:p>
    <w:p w:rsidR="00000000" w:rsidRPr="007652B4" w:rsidP="008C125D">
      <w:pPr>
        <w:pStyle w:val="BodyText"/>
      </w:pPr>
      <w:r w:rsidRPr="007652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60D0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652B4" w:rsidP="007652B4"/>
    <w:sectPr w:rsidSect="007652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2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2B4" w:rsidRPr="008C125D" w:rsidP="008C12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2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25D" w:rsidP="007652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125D" w:rsidP="007652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C125D" w:rsidP="007652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2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2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52B4" w:rsidRPr="008C125D" w:rsidP="008C12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2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25D" w:rsidRPr="002D2AF8" w:rsidP="007652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HLTPHA030 Apply knowledge of medications used to provide analgesia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C125D" w:rsidP="007652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84C8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44A8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64D1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2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52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52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52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52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52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52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52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52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52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52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52B4"/>
  </w:style>
  <w:style w:type="character" w:customStyle="1" w:styleId="Heading1Char">
    <w:name w:val="Heading 1 Char"/>
    <w:basedOn w:val="DefaultParagraphFont"/>
    <w:link w:val="Heading1"/>
    <w:rsid w:val="007652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52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52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52B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52B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52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52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652B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652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52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52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52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52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52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52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52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52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52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52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52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52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52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52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52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52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52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52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52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52B4"/>
    <w:rPr>
      <w:b/>
      <w:spacing w:val="0"/>
    </w:rPr>
  </w:style>
  <w:style w:type="paragraph" w:customStyle="1" w:styleId="SuperTitle">
    <w:name w:val="SuperTitle"/>
    <w:basedOn w:val="Title"/>
    <w:rsid w:val="007652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52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52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52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52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52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52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52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52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52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52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52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52B4"/>
    <w:rPr>
      <w:i/>
    </w:rPr>
  </w:style>
  <w:style w:type="paragraph" w:styleId="Caption">
    <w:name w:val="caption"/>
    <w:basedOn w:val="BodyText"/>
    <w:next w:val="Normal"/>
    <w:qFormat/>
    <w:rsid w:val="007652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52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52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52B4"/>
  </w:style>
  <w:style w:type="paragraph" w:styleId="TableofFigures">
    <w:name w:val="table of figures"/>
    <w:basedOn w:val="Normal"/>
    <w:next w:val="Normal"/>
    <w:semiHidden/>
    <w:rsid w:val="007652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52B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652B4"/>
    <w:rPr>
      <w:rFonts w:ascii="Wingdings" w:hAnsi="Wingdings"/>
    </w:rPr>
  </w:style>
  <w:style w:type="paragraph" w:customStyle="1" w:styleId="TableHeading">
    <w:name w:val="Table Heading"/>
    <w:basedOn w:val="HeadingBase"/>
    <w:rsid w:val="007652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52B4"/>
    <w:rPr>
      <w:color w:val="0033CC"/>
      <w:u w:val="none"/>
    </w:rPr>
  </w:style>
  <w:style w:type="paragraph" w:customStyle="1" w:styleId="BodyTextRight">
    <w:name w:val="Body Text Right"/>
    <w:basedOn w:val="BodyText"/>
    <w:rsid w:val="007652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52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52B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52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52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52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52B4"/>
    <w:rPr>
      <w:sz w:val="32"/>
    </w:rPr>
  </w:style>
  <w:style w:type="paragraph" w:customStyle="1" w:styleId="HeadingProcedure">
    <w:name w:val="Heading Procedure"/>
    <w:basedOn w:val="HeadingBase"/>
    <w:next w:val="Normal"/>
    <w:rsid w:val="007652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52B4"/>
    <w:pPr>
      <w:spacing w:before="60" w:after="60"/>
    </w:pPr>
  </w:style>
  <w:style w:type="paragraph" w:styleId="ListContinue">
    <w:name w:val="List Continue"/>
    <w:basedOn w:val="List"/>
    <w:rsid w:val="007652B4"/>
    <w:pPr>
      <w:ind w:firstLine="0"/>
    </w:pPr>
  </w:style>
  <w:style w:type="paragraph" w:customStyle="1" w:styleId="ListNote">
    <w:name w:val="List Note"/>
    <w:basedOn w:val="List"/>
    <w:rsid w:val="007652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52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52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52B4"/>
    <w:rPr>
      <w:rFonts w:ascii="Courier New" w:hAnsi="Courier New"/>
    </w:rPr>
  </w:style>
  <w:style w:type="paragraph" w:customStyle="1" w:styleId="NoteBullet">
    <w:name w:val="Note Bullet"/>
    <w:basedOn w:val="Note"/>
    <w:rsid w:val="007652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52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52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52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52B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652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52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52B4"/>
    <w:rPr>
      <w:b/>
      <w:smallCaps/>
    </w:rPr>
  </w:style>
  <w:style w:type="paragraph" w:customStyle="1" w:styleId="TableListNumber">
    <w:name w:val="Table List Number"/>
    <w:basedOn w:val="ListNumber"/>
    <w:rsid w:val="007652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52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52B4"/>
    <w:pPr>
      <w:numPr>
        <w:numId w:val="10"/>
      </w:numPr>
    </w:pPr>
  </w:style>
  <w:style w:type="paragraph" w:customStyle="1" w:styleId="ListAlpha2">
    <w:name w:val="List Alpha 2"/>
    <w:basedOn w:val="List2"/>
    <w:rsid w:val="007652B4"/>
    <w:pPr>
      <w:numPr>
        <w:numId w:val="9"/>
      </w:numPr>
    </w:pPr>
  </w:style>
  <w:style w:type="paragraph" w:styleId="List2">
    <w:name w:val="List 2"/>
    <w:basedOn w:val="BodyText"/>
    <w:rsid w:val="007652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52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52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52B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652B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652B4"/>
    <w:pPr>
      <w:numPr>
        <w:numId w:val="5"/>
      </w:numPr>
    </w:pPr>
  </w:style>
  <w:style w:type="paragraph" w:styleId="ListContinue2">
    <w:name w:val="List Continue 2"/>
    <w:basedOn w:val="List2"/>
    <w:rsid w:val="007652B4"/>
    <w:pPr>
      <w:ind w:firstLine="0"/>
    </w:pPr>
  </w:style>
  <w:style w:type="paragraph" w:styleId="ListContinue3">
    <w:name w:val="List Continue 3"/>
    <w:basedOn w:val="List3"/>
    <w:rsid w:val="007652B4"/>
    <w:pPr>
      <w:ind w:left="1021" w:firstLine="0"/>
    </w:pPr>
  </w:style>
  <w:style w:type="paragraph" w:styleId="ListContinue4">
    <w:name w:val="List Continue 4"/>
    <w:basedOn w:val="List4"/>
    <w:rsid w:val="007652B4"/>
    <w:pPr>
      <w:ind w:firstLine="0"/>
    </w:pPr>
  </w:style>
  <w:style w:type="paragraph" w:styleId="ListContinue5">
    <w:name w:val="List Continue 5"/>
    <w:basedOn w:val="List5"/>
    <w:rsid w:val="007652B4"/>
    <w:pPr>
      <w:ind w:firstLine="0"/>
    </w:pPr>
  </w:style>
  <w:style w:type="paragraph" w:styleId="ListNumber3">
    <w:name w:val="List Number 3"/>
    <w:basedOn w:val="List3"/>
    <w:rsid w:val="007652B4"/>
    <w:pPr>
      <w:numPr>
        <w:numId w:val="6"/>
      </w:numPr>
    </w:pPr>
  </w:style>
  <w:style w:type="paragraph" w:styleId="ListNumber4">
    <w:name w:val="List Number 4"/>
    <w:basedOn w:val="List4"/>
    <w:rsid w:val="007652B4"/>
    <w:pPr>
      <w:numPr>
        <w:numId w:val="7"/>
      </w:numPr>
    </w:pPr>
  </w:style>
  <w:style w:type="paragraph" w:styleId="ListNumber5">
    <w:name w:val="List Number 5"/>
    <w:basedOn w:val="List5"/>
    <w:rsid w:val="007652B4"/>
    <w:pPr>
      <w:numPr>
        <w:numId w:val="8"/>
      </w:numPr>
    </w:pPr>
  </w:style>
  <w:style w:type="paragraph" w:styleId="BlockText">
    <w:name w:val="Block Text"/>
    <w:basedOn w:val="Normal"/>
    <w:rsid w:val="007652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52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52B4"/>
    <w:rPr>
      <w:sz w:val="16"/>
      <w:vertAlign w:val="superscript"/>
    </w:rPr>
  </w:style>
  <w:style w:type="character" w:customStyle="1" w:styleId="Symbols">
    <w:name w:val="Symbols"/>
    <w:basedOn w:val="DefaultParagraphFont"/>
    <w:rsid w:val="007652B4"/>
    <w:rPr>
      <w:rFonts w:ascii="Symbol" w:hAnsi="Symbol"/>
    </w:rPr>
  </w:style>
  <w:style w:type="character" w:customStyle="1" w:styleId="MenuOptions">
    <w:name w:val="Menu Options"/>
    <w:basedOn w:val="DefaultParagraphFont"/>
    <w:rsid w:val="007652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52B4"/>
    <w:rPr>
      <w:b/>
    </w:rPr>
  </w:style>
  <w:style w:type="character" w:customStyle="1" w:styleId="Underlined">
    <w:name w:val="Underlined"/>
    <w:basedOn w:val="DefaultParagraphFont"/>
    <w:rsid w:val="007652B4"/>
    <w:rPr>
      <w:u w:val="single"/>
    </w:rPr>
  </w:style>
  <w:style w:type="paragraph" w:customStyle="1" w:styleId="TableBodyTextRight">
    <w:name w:val="Table Body Text Right"/>
    <w:basedOn w:val="TableBodyText"/>
    <w:rsid w:val="007652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52B4"/>
    <w:rPr>
      <w:sz w:val="18"/>
    </w:rPr>
  </w:style>
  <w:style w:type="paragraph" w:customStyle="1" w:styleId="BodySmallRight">
    <w:name w:val="Body Small Right"/>
    <w:basedOn w:val="BodyTextRight"/>
    <w:rsid w:val="007652B4"/>
    <w:rPr>
      <w:sz w:val="18"/>
      <w:szCs w:val="18"/>
    </w:rPr>
  </w:style>
  <w:style w:type="paragraph" w:customStyle="1" w:styleId="MarginEdition">
    <w:name w:val="Margin Edition"/>
    <w:basedOn w:val="MarginNote"/>
    <w:rsid w:val="007652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52B4"/>
    <w:rPr>
      <w:sz w:val="2"/>
      <w:szCs w:val="2"/>
    </w:rPr>
  </w:style>
  <w:style w:type="character" w:customStyle="1" w:styleId="Small">
    <w:name w:val="Small"/>
    <w:basedOn w:val="DefaultParagraphFont"/>
    <w:rsid w:val="007652B4"/>
    <w:rPr>
      <w:sz w:val="16"/>
    </w:rPr>
  </w:style>
  <w:style w:type="paragraph" w:customStyle="1" w:styleId="WideTable">
    <w:name w:val="Wide Table"/>
    <w:basedOn w:val="Normal"/>
    <w:rsid w:val="007652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52B4"/>
  </w:style>
  <w:style w:type="paragraph" w:styleId="Quote">
    <w:name w:val="Quote"/>
    <w:basedOn w:val="Heading1"/>
    <w:link w:val="QuoteChar"/>
    <w:qFormat/>
    <w:rsid w:val="007652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52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52B4"/>
    <w:pPr>
      <w:pageBreakBefore/>
    </w:pPr>
  </w:style>
  <w:style w:type="paragraph" w:customStyle="1" w:styleId="Border">
    <w:name w:val="Border"/>
    <w:basedOn w:val="Normal"/>
    <w:qFormat/>
    <w:rsid w:val="007652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52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2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2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52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52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52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52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52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52B4"/>
    <w:rPr>
      <w:u w:val="single"/>
    </w:rPr>
  </w:style>
  <w:style w:type="character" w:customStyle="1" w:styleId="BoldandItalics">
    <w:name w:val="Bold and Italics"/>
    <w:qFormat/>
    <w:rsid w:val="007652B4"/>
    <w:rPr>
      <w:b/>
      <w:i/>
      <w:u w:val="none"/>
    </w:rPr>
  </w:style>
  <w:style w:type="paragraph" w:styleId="BalloonText">
    <w:name w:val="Balloon Text"/>
    <w:basedOn w:val="Normal"/>
    <w:link w:val="BalloonTextChar"/>
    <w:rsid w:val="007652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52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52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52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52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52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52B4"/>
    <w:pPr>
      <w:spacing w:before="0" w:after="0"/>
    </w:pPr>
  </w:style>
  <w:style w:type="paragraph" w:customStyle="1" w:styleId="BodyTextBold">
    <w:name w:val="Body Text Bold"/>
    <w:basedOn w:val="BodyText"/>
    <w:qFormat/>
    <w:rsid w:val="007652B4"/>
    <w:rPr>
      <w:b/>
    </w:rPr>
  </w:style>
  <w:style w:type="character" w:styleId="Hyperlink">
    <w:name w:val="Hyperlink"/>
    <w:basedOn w:val="DefaultParagraphFont"/>
    <w:uiPriority w:val="99"/>
    <w:unhideWhenUsed/>
    <w:rsid w:val="008C12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3994</Characters>
  <Application>Microsoft Office Word</Application>
  <DocSecurity>0</DocSecurity>
  <Lines>110</Lines>
  <Paragraphs>95</Paragraphs>
  <ScaleCrop>false</ScaleCrop>
  <Company>Author-it Software Corporation Ltd.</Company>
  <LinksUpToDate>false</LinksUpToDate>
  <CharactersWithSpaces>4507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HLTPHA030 Apply knowledge of medications used to provide analgesia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2023-07-02T02:47:00Z</dcterms:created>
  <dcterms:modified xsi:type="dcterms:W3CDTF">2023-07-02T02:47:00Z</dcterms:modified>
</cp:coreProperties>
</file>