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B15" w:rsidP="00956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HLTPHA029 Apply knowledge of chemical principles as they apply to pharmacy activity</w:t>
      </w:r>
      <w:r>
        <w:fldChar w:fldCharType="end"/>
      </w:r>
    </w:p>
    <w:p w:rsidR="00956B15" w:rsidP="00956B15">
      <w:pPr>
        <w:pStyle w:val="Version"/>
        <w:sectPr w:rsidSect="00571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1CE" w:rsidP="005711CE">
      <w:pPr>
        <w:pStyle w:val="SuperHeading"/>
      </w:pPr>
      <w:r w:rsidRPr="005711CE">
        <w:t>Assessment Requirements for HLTPHA029 Apply knowledge of chemical principles as they apply to pharmacy activity</w:t>
      </w:r>
    </w:p>
    <w:p w:rsidR="00000000" w:rsidRPr="005711CE" w:rsidP="005711CE">
      <w:pPr>
        <w:pStyle w:val="Heading1"/>
      </w:pPr>
      <w:bookmarkStart w:id="1" w:name="O_1225658"/>
      <w:bookmarkEnd w:id="1"/>
      <w:r w:rsidRPr="005711CE">
        <w:t>Modification History</w:t>
      </w:r>
    </w:p>
    <w:p w:rsidR="00000000" w:rsidRPr="005711CE" w:rsidP="00956B15">
      <w:pPr>
        <w:pStyle w:val="BodyText"/>
      </w:pPr>
      <w:r w:rsidRPr="005711CE">
        <w:t>Not applicable.</w:t>
      </w:r>
    </w:p>
    <w:p w:rsidR="00000000" w:rsidRPr="005711CE" w:rsidP="005711CE">
      <w:pPr>
        <w:pStyle w:val="Heading1"/>
      </w:pPr>
      <w:bookmarkStart w:id="2" w:name="O_1225659"/>
      <w:bookmarkEnd w:id="2"/>
      <w:r w:rsidRPr="005711CE">
        <w:t>Performance Evidence</w:t>
      </w:r>
    </w:p>
    <w:p w:rsidR="00000000" w:rsidRPr="005711CE" w:rsidP="00956B15">
      <w:pPr>
        <w:pStyle w:val="BodyText"/>
      </w:pPr>
      <w:r w:rsidRPr="005711CE">
        <w:t>Evidence of the ability to complete tasks outlined in elements and performance criteria of this unit in the context of the job role, and:</w:t>
      </w:r>
    </w:p>
    <w:p w:rsidR="00000000" w:rsidRPr="005711CE" w:rsidP="005711CE">
      <w:pPr>
        <w:pStyle w:val="ListBullet"/>
      </w:pPr>
      <w:r w:rsidRPr="005711CE">
        <w:t>conduct one continuing education session for peers on chemical principles and reactions, as they apply to pharmacy ac</w:t>
      </w:r>
      <w:r w:rsidRPr="005711CE">
        <w:t>tivity that includes:</w:t>
      </w:r>
    </w:p>
    <w:p w:rsidR="00000000" w:rsidRPr="005711CE" w:rsidP="005711CE">
      <w:pPr>
        <w:pStyle w:val="ListBullet2"/>
      </w:pPr>
      <w:r w:rsidRPr="005711CE">
        <w:t>the key concepts of pharmacokinetics</w:t>
      </w:r>
    </w:p>
    <w:p w:rsidR="00000000" w:rsidRPr="005711CE" w:rsidP="005711CE">
      <w:pPr>
        <w:pStyle w:val="ListBullet2"/>
      </w:pPr>
      <w:r w:rsidRPr="005711CE">
        <w:t>basic chemistry concepts:</w:t>
      </w:r>
    </w:p>
    <w:p w:rsidR="00000000" w:rsidRPr="005711CE" w:rsidP="005711CE">
      <w:pPr>
        <w:pStyle w:val="ListBullet3"/>
      </w:pPr>
      <w:r w:rsidRPr="005711CE">
        <w:t>structures that are vulnerable to an acidic environment</w:t>
      </w:r>
    </w:p>
    <w:p w:rsidR="00000000" w:rsidRPr="005711CE" w:rsidP="005711CE">
      <w:pPr>
        <w:pStyle w:val="ListBullet3"/>
      </w:pPr>
      <w:r w:rsidRPr="005711CE">
        <w:t>factors affecting rates of reaction pH and neutralisation reactions</w:t>
      </w:r>
    </w:p>
    <w:p w:rsidR="00000000" w:rsidRPr="005711CE" w:rsidP="005711CE">
      <w:pPr>
        <w:pStyle w:val="ListBullet2"/>
      </w:pPr>
      <w:r w:rsidRPr="005711CE">
        <w:t>how medications are metabolised</w:t>
      </w:r>
    </w:p>
    <w:p w:rsidR="00000000" w:rsidRPr="005711CE" w:rsidP="005711CE">
      <w:pPr>
        <w:pStyle w:val="ListBullet2"/>
      </w:pPr>
      <w:r w:rsidRPr="005711CE">
        <w:t>how medications are eliminated from the human body</w:t>
      </w:r>
    </w:p>
    <w:p w:rsidR="00000000" w:rsidRPr="005711CE" w:rsidP="005711CE">
      <w:pPr>
        <w:pStyle w:val="ListBullet2"/>
      </w:pPr>
      <w:r w:rsidRPr="005711CE">
        <w:t>physiological factors affecting medication</w:t>
      </w:r>
    </w:p>
    <w:p w:rsidR="00000000" w:rsidRPr="005711CE" w:rsidP="005711CE">
      <w:pPr>
        <w:pStyle w:val="ListBullet2"/>
      </w:pPr>
      <w:r w:rsidRPr="005711CE">
        <w:t>fundamentals of drug to drug, drug to food, drug to alcohol interactions</w:t>
      </w:r>
    </w:p>
    <w:p w:rsidR="00000000" w:rsidRPr="005711CE" w:rsidP="005711CE">
      <w:pPr>
        <w:pStyle w:val="ListBullet2"/>
      </w:pPr>
      <w:r w:rsidRPr="005711CE">
        <w:t>medication administration routes</w:t>
      </w:r>
    </w:p>
    <w:p w:rsidR="00000000" w:rsidRPr="005711CE" w:rsidP="005711CE">
      <w:pPr>
        <w:pStyle w:val="ListBullet2"/>
      </w:pPr>
      <w:r w:rsidRPr="005711CE">
        <w:t>key information to convey to patients about the administ</w:t>
      </w:r>
      <w:r w:rsidRPr="005711CE">
        <w:t>ration of dosage forms</w:t>
      </w:r>
    </w:p>
    <w:p w:rsidR="00000000" w:rsidRPr="005711CE" w:rsidP="005711CE">
      <w:pPr>
        <w:pStyle w:val="ListBullet2"/>
      </w:pPr>
      <w:r w:rsidRPr="005711CE">
        <w:t>medication shelf-life considerations.</w:t>
      </w:r>
    </w:p>
    <w:p w:rsidR="00000000" w:rsidRPr="005711CE" w:rsidP="005711CE">
      <w:pPr>
        <w:pStyle w:val="AllowPageBreak"/>
      </w:pPr>
    </w:p>
    <w:p w:rsidR="00000000" w:rsidRPr="005711CE" w:rsidP="005711CE">
      <w:pPr>
        <w:pStyle w:val="Heading1"/>
      </w:pPr>
      <w:bookmarkStart w:id="3" w:name="O_1225660"/>
      <w:bookmarkEnd w:id="3"/>
      <w:r w:rsidRPr="005711CE">
        <w:t>Knowledge Evidence</w:t>
      </w:r>
    </w:p>
    <w:p w:rsidR="00000000" w:rsidRPr="005711CE" w:rsidP="00956B15">
      <w:pPr>
        <w:pStyle w:val="BodyText"/>
      </w:pPr>
      <w:r w:rsidRPr="005711CE">
        <w:t>Demonstrated knowledge required to complete the tasks outlined in elements and performance criteria of this unit:</w:t>
      </w:r>
    </w:p>
    <w:p w:rsidR="00000000" w:rsidRPr="005711CE" w:rsidP="005711CE">
      <w:pPr>
        <w:pStyle w:val="ListBullet"/>
      </w:pPr>
      <w:r w:rsidRPr="005711CE">
        <w:t>references available, including:</w:t>
      </w:r>
    </w:p>
    <w:p w:rsidR="00000000" w:rsidRPr="005711CE" w:rsidP="005711CE">
      <w:pPr>
        <w:pStyle w:val="ListBullet2"/>
      </w:pPr>
      <w:r w:rsidRPr="005711CE">
        <w:t>Therapeutics Guideline: Antibiotic</w:t>
      </w:r>
    </w:p>
    <w:p w:rsidR="00000000" w:rsidRPr="005711CE" w:rsidP="005711CE">
      <w:pPr>
        <w:pStyle w:val="ListBullet2"/>
      </w:pPr>
      <w:r w:rsidRPr="005711CE">
        <w:t>Australian Medicines Handbook (AMH)</w:t>
      </w:r>
    </w:p>
    <w:p w:rsidR="00000000" w:rsidRPr="005711CE" w:rsidP="005711CE">
      <w:pPr>
        <w:pStyle w:val="ListBullet2"/>
      </w:pPr>
      <w:r w:rsidRPr="005711CE">
        <w:t>Australian Pharmaceutical Formulary Handbook (APF)</w:t>
      </w:r>
    </w:p>
    <w:p w:rsidR="00000000" w:rsidRPr="005711CE" w:rsidP="005711CE">
      <w:pPr>
        <w:pStyle w:val="ListBullet2"/>
      </w:pPr>
      <w:r w:rsidRPr="005711CE">
        <w:t>Monthly Index of Medical Specialities (MIMS) or AusDI Advanced</w:t>
      </w:r>
    </w:p>
    <w:p w:rsidR="00000000" w:rsidRPr="005711CE" w:rsidP="005711CE">
      <w:pPr>
        <w:pStyle w:val="ListBullet2"/>
      </w:pPr>
      <w:r w:rsidRPr="005711CE">
        <w:t>Micromedex</w:t>
      </w:r>
    </w:p>
    <w:p w:rsidR="00000000" w:rsidRPr="005711CE" w:rsidP="005711CE">
      <w:pPr>
        <w:pStyle w:val="ListBullet"/>
      </w:pPr>
      <w:r w:rsidRPr="005711CE">
        <w:t xml:space="preserve">legal responsibilities of patient rights, duty of care and </w:t>
      </w:r>
      <w:r w:rsidRPr="005711CE">
        <w:t>implications of negligence</w:t>
      </w:r>
    </w:p>
    <w:p w:rsidR="00000000" w:rsidRPr="005711CE" w:rsidP="005711CE">
      <w:pPr>
        <w:pStyle w:val="ListBullet"/>
      </w:pPr>
      <w:r w:rsidRPr="005711CE">
        <w:t>limitations of own work role including identification and referring of issues outside scope of own practice to an authorised person</w:t>
      </w:r>
    </w:p>
    <w:p w:rsidR="00000000" w:rsidRPr="005711CE" w:rsidP="005711CE">
      <w:pPr>
        <w:pStyle w:val="ListBullet"/>
      </w:pPr>
      <w:r w:rsidRPr="005711CE">
        <w:t>relevant National, State or Territory regulatory and legislative requirements</w:t>
      </w:r>
    </w:p>
    <w:p w:rsidR="00000000" w:rsidRPr="005711CE" w:rsidP="005711CE">
      <w:pPr>
        <w:pStyle w:val="ListBullet"/>
      </w:pPr>
      <w:r w:rsidRPr="005711CE">
        <w:t>key concepts of pha</w:t>
      </w:r>
      <w:r w:rsidRPr="005711CE">
        <w:t>rmacokinetics:</w:t>
      </w:r>
    </w:p>
    <w:p w:rsidR="00000000" w:rsidRPr="005711CE" w:rsidP="005711CE">
      <w:pPr>
        <w:pStyle w:val="ListBullet2"/>
      </w:pPr>
      <w:r w:rsidRPr="005711CE">
        <w:t>absorption, distribution, metabolism and elimination</w:t>
      </w:r>
    </w:p>
    <w:p w:rsidR="00000000" w:rsidRPr="005711CE" w:rsidP="005711CE">
      <w:pPr>
        <w:pStyle w:val="ListBullet2"/>
      </w:pPr>
      <w:r w:rsidRPr="005711CE">
        <w:t>bioavailability</w:t>
      </w:r>
    </w:p>
    <w:p w:rsidR="00000000" w:rsidRPr="005711CE" w:rsidP="005711CE">
      <w:pPr>
        <w:pStyle w:val="ListBullet2"/>
      </w:pPr>
      <w:r w:rsidRPr="005711CE">
        <w:t>sites of absorption</w:t>
      </w:r>
    </w:p>
    <w:p w:rsidR="00000000" w:rsidRPr="005711CE" w:rsidP="005711CE">
      <w:pPr>
        <w:pStyle w:val="ListBullet2"/>
      </w:pPr>
      <w:r w:rsidRPr="005711CE">
        <w:t>factors affecting absorption</w:t>
      </w:r>
    </w:p>
    <w:p w:rsidR="00000000" w:rsidRPr="005711CE" w:rsidP="005711CE">
      <w:pPr>
        <w:pStyle w:val="ListBullet2"/>
      </w:pPr>
      <w:r w:rsidRPr="005711CE">
        <w:t>therapeutic range</w:t>
      </w:r>
    </w:p>
    <w:p w:rsidR="00000000" w:rsidRPr="005711CE" w:rsidP="005711CE">
      <w:pPr>
        <w:pStyle w:val="ListBullet2"/>
      </w:pPr>
      <w:r w:rsidRPr="005711CE">
        <w:t>half-life and effect on dosing intervals</w:t>
      </w:r>
    </w:p>
    <w:p w:rsidR="00000000" w:rsidRPr="005711CE" w:rsidP="005711CE">
      <w:pPr>
        <w:pStyle w:val="ListBullet"/>
      </w:pPr>
      <w:r w:rsidRPr="005711CE">
        <w:t>how medications are metabolised</w:t>
      </w:r>
    </w:p>
    <w:p w:rsidR="00000000" w:rsidRPr="005711CE" w:rsidP="005711CE">
      <w:pPr>
        <w:pStyle w:val="ListBullet"/>
      </w:pPr>
      <w:r w:rsidRPr="005711CE">
        <w:t>medications that are vulnerable to an acidic environment</w:t>
      </w:r>
    </w:p>
    <w:p w:rsidR="00000000" w:rsidRPr="005711CE" w:rsidP="005711CE">
      <w:pPr>
        <w:pStyle w:val="ListBullet"/>
      </w:pPr>
      <w:r w:rsidRPr="005711CE">
        <w:t>how medications are eliminated from the body</w:t>
      </w:r>
    </w:p>
    <w:p w:rsidR="00000000" w:rsidRPr="005711CE" w:rsidP="005711CE">
      <w:pPr>
        <w:pStyle w:val="ListBullet"/>
      </w:pPr>
      <w:r w:rsidRPr="005711CE">
        <w:t>bioequivalence</w:t>
      </w:r>
    </w:p>
    <w:p w:rsidR="00000000" w:rsidRPr="005711CE" w:rsidP="005711CE">
      <w:pPr>
        <w:pStyle w:val="ListBullet"/>
      </w:pPr>
      <w:r w:rsidRPr="005711CE">
        <w:t>physiological factors affecting medication, including:</w:t>
      </w:r>
    </w:p>
    <w:p w:rsidR="00000000" w:rsidRPr="005711CE" w:rsidP="005711CE">
      <w:pPr>
        <w:pStyle w:val="ListBullet2"/>
      </w:pPr>
      <w:r w:rsidRPr="005711CE">
        <w:t>breastfeeding</w:t>
      </w:r>
    </w:p>
    <w:p w:rsidR="00000000" w:rsidRPr="005711CE" w:rsidP="005711CE">
      <w:pPr>
        <w:pStyle w:val="ListBullet2"/>
      </w:pPr>
      <w:r w:rsidRPr="005711CE">
        <w:t>pregnancy</w:t>
      </w:r>
    </w:p>
    <w:p w:rsidR="00000000" w:rsidRPr="005711CE" w:rsidP="005711CE">
      <w:pPr>
        <w:pStyle w:val="ListBullet2"/>
      </w:pPr>
      <w:r w:rsidRPr="005711CE">
        <w:t>geriatrics</w:t>
      </w:r>
    </w:p>
    <w:p w:rsidR="00000000" w:rsidRPr="005711CE" w:rsidP="005711CE">
      <w:pPr>
        <w:pStyle w:val="ListBullet2"/>
      </w:pPr>
      <w:r w:rsidRPr="005711CE">
        <w:t>paediatrics</w:t>
      </w:r>
    </w:p>
    <w:p w:rsidR="00000000" w:rsidRPr="005711CE" w:rsidP="005711CE">
      <w:pPr>
        <w:pStyle w:val="ListBullet2"/>
      </w:pPr>
      <w:r w:rsidRPr="005711CE">
        <w:t>hepatic impairment</w:t>
      </w:r>
    </w:p>
    <w:p w:rsidR="00000000" w:rsidRPr="005711CE" w:rsidP="005711CE">
      <w:pPr>
        <w:pStyle w:val="ListBullet2"/>
      </w:pPr>
      <w:r w:rsidRPr="005711CE">
        <w:t>renal impairment</w:t>
      </w:r>
    </w:p>
    <w:p w:rsidR="00000000" w:rsidRPr="005711CE" w:rsidP="005711CE">
      <w:pPr>
        <w:pStyle w:val="ListBullet"/>
      </w:pPr>
      <w:r w:rsidRPr="005711CE">
        <w:t>fundamentals of drug to drug, drug to food, drug to alcohol interactions, including:</w:t>
      </w:r>
    </w:p>
    <w:p w:rsidR="00000000" w:rsidRPr="005711CE" w:rsidP="005711CE">
      <w:pPr>
        <w:pStyle w:val="ListBullet2"/>
      </w:pPr>
      <w:r w:rsidRPr="005711CE">
        <w:t>concerns with taking medications with iron and calcium supplements</w:t>
      </w:r>
    </w:p>
    <w:p w:rsidR="00000000" w:rsidRPr="005711CE" w:rsidP="005711CE">
      <w:pPr>
        <w:pStyle w:val="ListBullet2"/>
      </w:pPr>
      <w:r w:rsidRPr="005711CE">
        <w:t>effect antacids can have on medication absorption</w:t>
      </w:r>
    </w:p>
    <w:p w:rsidR="00000000" w:rsidRPr="005711CE" w:rsidP="005711CE">
      <w:pPr>
        <w:pStyle w:val="ListBullet2"/>
      </w:pPr>
      <w:r w:rsidRPr="005711CE">
        <w:t>effect of grapefruit juice on medications</w:t>
      </w:r>
    </w:p>
    <w:p w:rsidR="00000000" w:rsidRPr="005711CE" w:rsidP="005711CE">
      <w:pPr>
        <w:pStyle w:val="ListBullet2"/>
      </w:pPr>
      <w:r w:rsidRPr="005711CE">
        <w:t>effect alcohol can have with medications</w:t>
      </w:r>
    </w:p>
    <w:p w:rsidR="00000000" w:rsidRPr="005711CE" w:rsidP="005711CE">
      <w:pPr>
        <w:pStyle w:val="ListBullet2"/>
      </w:pPr>
      <w:r w:rsidRPr="005711CE">
        <w:t>rationale behind taking medications with food, with a fatty meal and on an empty stomach</w:t>
      </w:r>
    </w:p>
    <w:p w:rsidR="00000000" w:rsidRPr="005711CE" w:rsidP="005711CE">
      <w:pPr>
        <w:pStyle w:val="ListBullet"/>
      </w:pPr>
      <w:r w:rsidRPr="005711CE">
        <w:t>stability considerations:</w:t>
      </w:r>
    </w:p>
    <w:p w:rsidR="00000000" w:rsidRPr="005711CE" w:rsidP="005711CE">
      <w:pPr>
        <w:pStyle w:val="ListBullet2"/>
      </w:pPr>
      <w:r w:rsidRPr="005711CE">
        <w:t>shelf life</w:t>
      </w:r>
    </w:p>
    <w:p w:rsidR="00000000" w:rsidRPr="005711CE" w:rsidP="005711CE">
      <w:pPr>
        <w:pStyle w:val="ListBullet2"/>
      </w:pPr>
      <w:r w:rsidRPr="005711CE">
        <w:t>effect of temperature on medications</w:t>
      </w:r>
    </w:p>
    <w:p w:rsidR="00000000" w:rsidRPr="005711CE" w:rsidP="005711CE">
      <w:pPr>
        <w:pStyle w:val="ListBullet2"/>
      </w:pPr>
      <w:r w:rsidRPr="005711CE">
        <w:t xml:space="preserve">understanding the strengths and weaknesses of the </w:t>
      </w:r>
      <w:r w:rsidRPr="005711CE">
        <w:t>following dosage forms</w:t>
      </w:r>
    </w:p>
    <w:p w:rsidR="00000000" w:rsidRPr="005711CE" w:rsidP="005711CE">
      <w:pPr>
        <w:pStyle w:val="ListBullet"/>
      </w:pPr>
      <w:r w:rsidRPr="005711CE">
        <w:t>continuous education session delivery methods, including:</w:t>
      </w:r>
    </w:p>
    <w:p w:rsidR="00000000" w:rsidRPr="005711CE" w:rsidP="005711CE">
      <w:pPr>
        <w:pStyle w:val="ListBullet2"/>
      </w:pPr>
      <w:r w:rsidRPr="005711CE">
        <w:t>digital presentation</w:t>
      </w:r>
    </w:p>
    <w:p w:rsidR="00000000" w:rsidRPr="005711CE" w:rsidP="005711CE">
      <w:pPr>
        <w:pStyle w:val="ListBullet2"/>
      </w:pPr>
      <w:r w:rsidRPr="005711CE">
        <w:t>demonstration</w:t>
      </w:r>
    </w:p>
    <w:p w:rsidR="00000000" w:rsidRPr="005711CE" w:rsidP="005711CE">
      <w:pPr>
        <w:pStyle w:val="ListBullet2"/>
      </w:pPr>
      <w:r w:rsidRPr="005711CE">
        <w:t>referral to findings</w:t>
      </w:r>
    </w:p>
    <w:p w:rsidR="00000000" w:rsidRPr="005711CE" w:rsidP="005711CE">
      <w:pPr>
        <w:pStyle w:val="ListBullet2"/>
      </w:pPr>
      <w:r w:rsidRPr="005711CE">
        <w:t>activities or questions.</w:t>
      </w:r>
    </w:p>
    <w:p w:rsidR="00000000" w:rsidRPr="005711CE" w:rsidP="005711CE">
      <w:pPr>
        <w:pStyle w:val="AllowPageBreak"/>
      </w:pPr>
    </w:p>
    <w:p w:rsidR="00000000" w:rsidRPr="005711CE" w:rsidP="005711CE">
      <w:pPr>
        <w:pStyle w:val="Heading1"/>
      </w:pPr>
      <w:bookmarkStart w:id="4" w:name="O_1225661"/>
      <w:bookmarkEnd w:id="4"/>
      <w:r w:rsidRPr="005711CE">
        <w:t>Assessment Conditions</w:t>
      </w:r>
    </w:p>
    <w:p w:rsidR="00000000" w:rsidRPr="005711CE" w:rsidP="00956B15">
      <w:pPr>
        <w:pStyle w:val="BodyText"/>
      </w:pPr>
      <w:r w:rsidRPr="005711CE">
        <w:t xml:space="preserve">Skills must be demonstrated in the workplace or in </w:t>
      </w:r>
      <w:r w:rsidRPr="005711CE">
        <w:t>a simulated environment that reflects workplace conditions.</w:t>
      </w:r>
    </w:p>
    <w:p w:rsidR="00000000" w:rsidRPr="005711CE" w:rsidP="00956B15">
      <w:pPr>
        <w:pStyle w:val="BodyText"/>
      </w:pPr>
      <w:r w:rsidRPr="005711CE">
        <w:t>Assessment must ensure access to:</w:t>
      </w:r>
    </w:p>
    <w:p w:rsidR="00000000" w:rsidRPr="005711CE" w:rsidP="005711CE">
      <w:pPr>
        <w:pStyle w:val="ListBullet"/>
      </w:pPr>
      <w:r w:rsidRPr="005711CE">
        <w:t>use of suitable facilities, equipment and resources, including:</w:t>
      </w:r>
    </w:p>
    <w:p w:rsidR="00000000" w:rsidRPr="005711CE" w:rsidP="005711CE">
      <w:pPr>
        <w:pStyle w:val="ListBullet2"/>
      </w:pPr>
      <w:r w:rsidRPr="005711CE">
        <w:t>relevant legislation, regulations and guidelines</w:t>
      </w:r>
    </w:p>
    <w:p w:rsidR="00000000" w:rsidRPr="005711CE" w:rsidP="005711CE">
      <w:pPr>
        <w:pStyle w:val="ListBullet2"/>
      </w:pPr>
      <w:r w:rsidRPr="005711CE">
        <w:t>chemical pharmacy resources</w:t>
      </w:r>
    </w:p>
    <w:p w:rsidR="00000000" w:rsidRPr="005711CE" w:rsidP="005711CE">
      <w:pPr>
        <w:pStyle w:val="ListBullet"/>
      </w:pPr>
      <w:r w:rsidRPr="005711CE">
        <w:t>authorised person with whom to consult.</w:t>
      </w:r>
    </w:p>
    <w:p w:rsidR="00000000" w:rsidRPr="005711CE" w:rsidP="00956B15">
      <w:pPr>
        <w:pStyle w:val="BodyText"/>
      </w:pPr>
      <w:r w:rsidRPr="005711CE">
        <w:t>Assessors must satisfy the Standards for Registered Training Organisations’ requirements for assessors.</w:t>
      </w:r>
    </w:p>
    <w:p w:rsidR="00000000" w:rsidRPr="005711CE" w:rsidP="005711CE">
      <w:pPr>
        <w:pStyle w:val="Heading1"/>
      </w:pPr>
      <w:bookmarkStart w:id="5" w:name="O_1225664"/>
      <w:bookmarkEnd w:id="5"/>
      <w:r w:rsidRPr="005711CE">
        <w:t>Links</w:t>
      </w:r>
    </w:p>
    <w:p w:rsidR="00000000" w:rsidRPr="005711CE" w:rsidP="00956B15">
      <w:pPr>
        <w:pStyle w:val="BodyText"/>
      </w:pPr>
      <w:r w:rsidRPr="005711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686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711CE" w:rsidP="005711CE"/>
    <w:sectPr w:rsidSect="00571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E" w:rsidRPr="00956B15" w:rsidP="00956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15" w:rsidP="00571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B15" w:rsidP="00571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6B15" w:rsidP="00571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1CE" w:rsidRPr="00956B15" w:rsidP="00956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15" w:rsidRPr="002D2AF8" w:rsidP="00571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HLTPHA029 Apply knowledge of chemical principles as they apply to pharmacy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56B15" w:rsidP="00571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40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A0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C6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1CE"/>
  </w:style>
  <w:style w:type="character" w:customStyle="1" w:styleId="Heading1Char">
    <w:name w:val="Heading 1 Char"/>
    <w:basedOn w:val="DefaultParagraphFont"/>
    <w:link w:val="Heading1"/>
    <w:rsid w:val="00571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1C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11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11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1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1CE"/>
    <w:rPr>
      <w:b/>
      <w:spacing w:val="0"/>
    </w:rPr>
  </w:style>
  <w:style w:type="paragraph" w:customStyle="1" w:styleId="SuperTitle">
    <w:name w:val="SuperTitle"/>
    <w:basedOn w:val="Title"/>
    <w:rsid w:val="00571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1CE"/>
    <w:rPr>
      <w:i/>
    </w:rPr>
  </w:style>
  <w:style w:type="paragraph" w:styleId="Caption">
    <w:name w:val="caption"/>
    <w:basedOn w:val="BodyText"/>
    <w:next w:val="Normal"/>
    <w:qFormat/>
    <w:rsid w:val="00571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1CE"/>
  </w:style>
  <w:style w:type="paragraph" w:styleId="TableofFigures">
    <w:name w:val="table of figures"/>
    <w:basedOn w:val="Normal"/>
    <w:next w:val="Normal"/>
    <w:semiHidden/>
    <w:rsid w:val="00571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1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11CE"/>
    <w:rPr>
      <w:rFonts w:ascii="Wingdings" w:hAnsi="Wingdings"/>
    </w:rPr>
  </w:style>
  <w:style w:type="paragraph" w:customStyle="1" w:styleId="TableHeading">
    <w:name w:val="Table Heading"/>
    <w:basedOn w:val="HeadingBase"/>
    <w:rsid w:val="00571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1CE"/>
    <w:rPr>
      <w:color w:val="0033CC"/>
      <w:u w:val="none"/>
    </w:rPr>
  </w:style>
  <w:style w:type="paragraph" w:customStyle="1" w:styleId="BodyTextRight">
    <w:name w:val="Body Text Right"/>
    <w:basedOn w:val="BodyText"/>
    <w:rsid w:val="00571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1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1CE"/>
    <w:rPr>
      <w:sz w:val="32"/>
    </w:rPr>
  </w:style>
  <w:style w:type="paragraph" w:customStyle="1" w:styleId="HeadingProcedure">
    <w:name w:val="Heading Procedure"/>
    <w:basedOn w:val="HeadingBase"/>
    <w:next w:val="Normal"/>
    <w:rsid w:val="00571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1CE"/>
    <w:pPr>
      <w:spacing w:before="60" w:after="60"/>
    </w:pPr>
  </w:style>
  <w:style w:type="paragraph" w:styleId="ListContinue">
    <w:name w:val="List Continue"/>
    <w:basedOn w:val="List"/>
    <w:rsid w:val="005711CE"/>
    <w:pPr>
      <w:ind w:firstLine="0"/>
    </w:pPr>
  </w:style>
  <w:style w:type="paragraph" w:customStyle="1" w:styleId="ListNote">
    <w:name w:val="List Note"/>
    <w:basedOn w:val="List"/>
    <w:rsid w:val="00571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1CE"/>
    <w:rPr>
      <w:rFonts w:ascii="Courier New" w:hAnsi="Courier New"/>
    </w:rPr>
  </w:style>
  <w:style w:type="paragraph" w:customStyle="1" w:styleId="NoteBullet">
    <w:name w:val="Note Bullet"/>
    <w:basedOn w:val="Note"/>
    <w:rsid w:val="00571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1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1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1CE"/>
    <w:rPr>
      <w:b/>
      <w:smallCaps/>
    </w:rPr>
  </w:style>
  <w:style w:type="paragraph" w:customStyle="1" w:styleId="TableListNumber">
    <w:name w:val="Table List Number"/>
    <w:basedOn w:val="ListNumber"/>
    <w:rsid w:val="00571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1CE"/>
    <w:pPr>
      <w:numPr>
        <w:numId w:val="10"/>
      </w:numPr>
    </w:pPr>
  </w:style>
  <w:style w:type="paragraph" w:customStyle="1" w:styleId="ListAlpha2">
    <w:name w:val="List Alpha 2"/>
    <w:basedOn w:val="List2"/>
    <w:rsid w:val="005711CE"/>
    <w:pPr>
      <w:numPr>
        <w:numId w:val="9"/>
      </w:numPr>
    </w:pPr>
  </w:style>
  <w:style w:type="paragraph" w:styleId="List2">
    <w:name w:val="List 2"/>
    <w:basedOn w:val="BodyText"/>
    <w:rsid w:val="00571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1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11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11CE"/>
    <w:pPr>
      <w:numPr>
        <w:numId w:val="5"/>
      </w:numPr>
    </w:pPr>
  </w:style>
  <w:style w:type="paragraph" w:styleId="ListContinue2">
    <w:name w:val="List Continue 2"/>
    <w:basedOn w:val="List2"/>
    <w:rsid w:val="005711CE"/>
    <w:pPr>
      <w:ind w:firstLine="0"/>
    </w:pPr>
  </w:style>
  <w:style w:type="paragraph" w:styleId="ListContinue3">
    <w:name w:val="List Continue 3"/>
    <w:basedOn w:val="List3"/>
    <w:rsid w:val="005711CE"/>
    <w:pPr>
      <w:ind w:left="1021" w:firstLine="0"/>
    </w:pPr>
  </w:style>
  <w:style w:type="paragraph" w:styleId="ListContinue4">
    <w:name w:val="List Continue 4"/>
    <w:basedOn w:val="List4"/>
    <w:rsid w:val="005711CE"/>
    <w:pPr>
      <w:ind w:firstLine="0"/>
    </w:pPr>
  </w:style>
  <w:style w:type="paragraph" w:styleId="ListContinue5">
    <w:name w:val="List Continue 5"/>
    <w:basedOn w:val="List5"/>
    <w:rsid w:val="005711CE"/>
    <w:pPr>
      <w:ind w:firstLine="0"/>
    </w:pPr>
  </w:style>
  <w:style w:type="paragraph" w:styleId="ListNumber3">
    <w:name w:val="List Number 3"/>
    <w:basedOn w:val="List3"/>
    <w:rsid w:val="005711CE"/>
    <w:pPr>
      <w:numPr>
        <w:numId w:val="6"/>
      </w:numPr>
    </w:pPr>
  </w:style>
  <w:style w:type="paragraph" w:styleId="ListNumber4">
    <w:name w:val="List Number 4"/>
    <w:basedOn w:val="List4"/>
    <w:rsid w:val="005711CE"/>
    <w:pPr>
      <w:numPr>
        <w:numId w:val="7"/>
      </w:numPr>
    </w:pPr>
  </w:style>
  <w:style w:type="paragraph" w:styleId="ListNumber5">
    <w:name w:val="List Number 5"/>
    <w:basedOn w:val="List5"/>
    <w:rsid w:val="005711CE"/>
    <w:pPr>
      <w:numPr>
        <w:numId w:val="8"/>
      </w:numPr>
    </w:pPr>
  </w:style>
  <w:style w:type="paragraph" w:styleId="BlockText">
    <w:name w:val="Block Text"/>
    <w:basedOn w:val="Normal"/>
    <w:rsid w:val="00571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1CE"/>
    <w:rPr>
      <w:sz w:val="16"/>
      <w:vertAlign w:val="superscript"/>
    </w:rPr>
  </w:style>
  <w:style w:type="character" w:customStyle="1" w:styleId="Symbols">
    <w:name w:val="Symbols"/>
    <w:basedOn w:val="DefaultParagraphFont"/>
    <w:rsid w:val="005711CE"/>
    <w:rPr>
      <w:rFonts w:ascii="Symbol" w:hAnsi="Symbol"/>
    </w:rPr>
  </w:style>
  <w:style w:type="character" w:customStyle="1" w:styleId="MenuOptions">
    <w:name w:val="Menu Options"/>
    <w:basedOn w:val="DefaultParagraphFont"/>
    <w:rsid w:val="00571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1CE"/>
    <w:rPr>
      <w:b/>
    </w:rPr>
  </w:style>
  <w:style w:type="character" w:customStyle="1" w:styleId="Underlined">
    <w:name w:val="Underlined"/>
    <w:basedOn w:val="DefaultParagraphFont"/>
    <w:rsid w:val="005711CE"/>
    <w:rPr>
      <w:u w:val="single"/>
    </w:rPr>
  </w:style>
  <w:style w:type="paragraph" w:customStyle="1" w:styleId="TableBodyTextRight">
    <w:name w:val="Table Body Text Right"/>
    <w:basedOn w:val="TableBodyText"/>
    <w:rsid w:val="00571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1CE"/>
    <w:rPr>
      <w:sz w:val="18"/>
    </w:rPr>
  </w:style>
  <w:style w:type="paragraph" w:customStyle="1" w:styleId="BodySmallRight">
    <w:name w:val="Body Small Right"/>
    <w:basedOn w:val="BodyTextRight"/>
    <w:rsid w:val="005711CE"/>
    <w:rPr>
      <w:sz w:val="18"/>
      <w:szCs w:val="18"/>
    </w:rPr>
  </w:style>
  <w:style w:type="paragraph" w:customStyle="1" w:styleId="MarginEdition">
    <w:name w:val="Margin Edition"/>
    <w:basedOn w:val="MarginNote"/>
    <w:rsid w:val="00571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1CE"/>
    <w:rPr>
      <w:sz w:val="2"/>
      <w:szCs w:val="2"/>
    </w:rPr>
  </w:style>
  <w:style w:type="character" w:customStyle="1" w:styleId="Small">
    <w:name w:val="Small"/>
    <w:basedOn w:val="DefaultParagraphFont"/>
    <w:rsid w:val="005711CE"/>
    <w:rPr>
      <w:sz w:val="16"/>
    </w:rPr>
  </w:style>
  <w:style w:type="paragraph" w:customStyle="1" w:styleId="WideTable">
    <w:name w:val="Wide Table"/>
    <w:basedOn w:val="Normal"/>
    <w:rsid w:val="00571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1CE"/>
  </w:style>
  <w:style w:type="paragraph" w:styleId="Quote">
    <w:name w:val="Quote"/>
    <w:basedOn w:val="Heading1"/>
    <w:link w:val="QuoteChar"/>
    <w:qFormat/>
    <w:rsid w:val="00571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1CE"/>
    <w:pPr>
      <w:pageBreakBefore/>
    </w:pPr>
  </w:style>
  <w:style w:type="paragraph" w:customStyle="1" w:styleId="Border">
    <w:name w:val="Border"/>
    <w:basedOn w:val="Normal"/>
    <w:qFormat/>
    <w:rsid w:val="00571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1CE"/>
    <w:rPr>
      <w:u w:val="single"/>
    </w:rPr>
  </w:style>
  <w:style w:type="character" w:customStyle="1" w:styleId="BoldandItalics">
    <w:name w:val="Bold and Italics"/>
    <w:qFormat/>
    <w:rsid w:val="005711CE"/>
    <w:rPr>
      <w:b/>
      <w:i/>
      <w:u w:val="none"/>
    </w:rPr>
  </w:style>
  <w:style w:type="paragraph" w:styleId="BalloonText">
    <w:name w:val="Balloon Text"/>
    <w:basedOn w:val="Normal"/>
    <w:link w:val="BalloonTextChar"/>
    <w:rsid w:val="00571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1CE"/>
    <w:pPr>
      <w:spacing w:before="0" w:after="0"/>
    </w:pPr>
  </w:style>
  <w:style w:type="paragraph" w:customStyle="1" w:styleId="BodyTextBold">
    <w:name w:val="Body Text Bold"/>
    <w:basedOn w:val="BodyText"/>
    <w:qFormat/>
    <w:rsid w:val="005711CE"/>
    <w:rPr>
      <w:b/>
    </w:rPr>
  </w:style>
  <w:style w:type="character" w:styleId="Hyperlink">
    <w:name w:val="Hyperlink"/>
    <w:basedOn w:val="DefaultParagraphFont"/>
    <w:uiPriority w:val="99"/>
    <w:unhideWhenUsed/>
    <w:rsid w:val="00956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3232</Characters>
  <Application>Microsoft Office Word</Application>
  <DocSecurity>0</DocSecurity>
  <Lines>92</Lines>
  <Paragraphs>86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HLTPHA029 Apply knowledge of chemical principles as they apply to pharmacy activity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2023-07-02T02:32:00Z</dcterms:created>
  <dcterms:modified xsi:type="dcterms:W3CDTF">2023-07-02T02:32:00Z</dcterms:modified>
</cp:coreProperties>
</file>