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12A" w:rsidP="0063712A">
      <w:pPr>
        <w:pStyle w:val="Title"/>
      </w:pPr>
      <w:r>
        <w:fldChar w:fldCharType="begin"/>
      </w:r>
      <w:r>
        <w:instrText xml:space="preserve"> TITLE   \* MERGEFORMAT </w:instrText>
      </w:r>
      <w:r>
        <w:fldChar w:fldCharType="separate"/>
      </w:r>
      <w:r>
        <w:t>HLTPHA027 Apply knowledge of malignant diseases and immunosuppressive disorders to dispense medication</w:t>
      </w:r>
      <w:r>
        <w:fldChar w:fldCharType="end"/>
      </w:r>
    </w:p>
    <w:p w:rsidR="0063712A" w:rsidP="0063712A">
      <w:pPr>
        <w:pStyle w:val="Version"/>
        <w:sectPr w:rsidSect="00A12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84D" w:rsidP="00A1284D">
      <w:pPr>
        <w:pStyle w:val="SuperHeading"/>
      </w:pPr>
      <w:r w:rsidRPr="00A1284D">
        <w:t>HLTPHA027 Apply knowledge of malignant diseases and immunosuppressive disorders to dispense medication</w:t>
      </w:r>
    </w:p>
    <w:p w:rsidR="00000000" w:rsidRPr="00A1284D" w:rsidP="00A1284D">
      <w:pPr>
        <w:pStyle w:val="Heading1"/>
      </w:pPr>
      <w:bookmarkStart w:id="1" w:name="O_1225610"/>
      <w:bookmarkEnd w:id="1"/>
      <w:r w:rsidRPr="00A1284D">
        <w:t>Modification History</w:t>
      </w:r>
    </w:p>
    <w:p w:rsidR="00000000" w:rsidRPr="00A1284D" w:rsidP="0063712A">
      <w:pPr>
        <w:pStyle w:val="BodyText"/>
      </w:pPr>
      <w:r w:rsidRPr="00A1284D">
        <w:t>Not applicable.</w:t>
      </w:r>
    </w:p>
    <w:p w:rsidR="00000000" w:rsidRPr="00A1284D" w:rsidP="00A1284D">
      <w:pPr>
        <w:pStyle w:val="Heading1"/>
      </w:pPr>
      <w:bookmarkStart w:id="2" w:name="O_1225611"/>
      <w:bookmarkEnd w:id="2"/>
      <w:r w:rsidRPr="00A1284D">
        <w:t>Application</w:t>
      </w:r>
    </w:p>
    <w:p w:rsidR="00000000" w:rsidRPr="00A1284D" w:rsidP="0063712A">
      <w:pPr>
        <w:pStyle w:val="BodyText"/>
      </w:pPr>
      <w:r w:rsidRPr="00A1284D">
        <w:t>This unit of competency describes the performance outcomes, skills and knowledge required to recognise the main medications and their actions in the treatment of malignant disease and immunosuppressive disorders so as to dispense medication to patients who</w:t>
      </w:r>
      <w:r w:rsidRPr="00A1284D">
        <w:t xml:space="preserve"> suffer from these disorders.</w:t>
      </w:r>
    </w:p>
    <w:p w:rsidR="00000000" w:rsidRPr="00A1284D" w:rsidP="0063712A">
      <w:pPr>
        <w:pStyle w:val="BodyText"/>
      </w:pPr>
      <w:r w:rsidRPr="00A1284D">
        <w:t>This unit applies to hospital or health services pharmacy assistants and technicians working under the supervision of an authorised person.</w:t>
      </w:r>
    </w:p>
    <w:p w:rsidR="00000000" w:rsidRPr="00A1284D" w:rsidP="0063712A">
      <w:pPr>
        <w:pStyle w:val="BodyText"/>
      </w:pPr>
      <w:r w:rsidRPr="00A1284D">
        <w:t>The skills in this unit must be applied in accordance with Commonwealth and State or T</w:t>
      </w:r>
      <w:r w:rsidRPr="00A1284D">
        <w:t>erritory legislation, Australian standards and industry codes of practice.</w:t>
      </w:r>
    </w:p>
    <w:p w:rsidR="00000000" w:rsidRPr="00A1284D" w:rsidP="0063712A">
      <w:pPr>
        <w:pStyle w:val="BodyText"/>
      </w:pPr>
      <w:r w:rsidRPr="00A1284D">
        <w:t>No occupational licensing, certification or specific legislative requirements apply to this unit at the time of publication.</w:t>
      </w:r>
    </w:p>
    <w:p w:rsidR="00000000" w:rsidRPr="00A1284D" w:rsidP="00A1284D">
      <w:pPr>
        <w:pStyle w:val="Heading1"/>
      </w:pPr>
      <w:bookmarkStart w:id="3" w:name="O_1225612"/>
      <w:bookmarkEnd w:id="3"/>
      <w:r w:rsidRPr="00A1284D">
        <w:t>Pre-requisite Unit</w:t>
      </w:r>
    </w:p>
    <w:p w:rsidR="00000000" w:rsidRPr="00A1284D" w:rsidP="0063712A">
      <w:pPr>
        <w:pStyle w:val="BodyText"/>
      </w:pPr>
      <w:r w:rsidRPr="00A1284D">
        <w:t>Nil</w:t>
      </w:r>
    </w:p>
    <w:p w:rsidR="00000000" w:rsidRPr="00A1284D" w:rsidP="00A1284D">
      <w:pPr>
        <w:pStyle w:val="Heading1"/>
      </w:pPr>
      <w:bookmarkStart w:id="4" w:name="O_1225613"/>
      <w:bookmarkEnd w:id="4"/>
      <w:r w:rsidRPr="00A1284D">
        <w:t>Competency Field</w:t>
      </w:r>
    </w:p>
    <w:p w:rsidR="00000000" w:rsidRPr="00A1284D" w:rsidP="0063712A">
      <w:pPr>
        <w:pStyle w:val="BodyText"/>
      </w:pPr>
      <w:r w:rsidRPr="00A1284D">
        <w:t>Pharmacy</w:t>
      </w:r>
    </w:p>
    <w:p w:rsidR="00000000" w:rsidRPr="00A1284D" w:rsidP="00A1284D">
      <w:pPr>
        <w:pStyle w:val="Heading1"/>
      </w:pPr>
      <w:bookmarkStart w:id="5" w:name="O_1225614"/>
      <w:bookmarkEnd w:id="5"/>
      <w:r w:rsidRPr="00A1284D">
        <w:t>Unit Sector</w:t>
      </w:r>
    </w:p>
    <w:p w:rsidR="00000000" w:rsidRPr="00A1284D" w:rsidP="0063712A">
      <w:pPr>
        <w:pStyle w:val="BodyText"/>
      </w:pPr>
      <w:r w:rsidRPr="00A1284D">
        <w:t>Health</w:t>
      </w:r>
    </w:p>
    <w:p w:rsidR="00000000" w:rsidRPr="00A1284D" w:rsidP="00A1284D">
      <w:pPr>
        <w:pStyle w:val="Heading1"/>
      </w:pPr>
      <w:bookmarkStart w:id="6" w:name="O_1225615"/>
      <w:bookmarkEnd w:id="6"/>
      <w:r w:rsidRPr="00A1284D">
        <w:t>Elements and Performance Criteria</w:t>
      </w:r>
    </w:p>
    <w:tbl>
      <w:tblPr>
        <w:tblW w:w="0" w:type="auto"/>
        <w:tblLayout w:type="fixed"/>
        <w:tblCellMar>
          <w:left w:w="62" w:type="dxa"/>
          <w:right w:w="62" w:type="dxa"/>
        </w:tblCellMar>
        <w:tblLook w:val="0000"/>
      </w:tblPr>
      <w:tblGrid>
        <w:gridCol w:w="2694"/>
        <w:gridCol w:w="6350"/>
      </w:tblGrid>
      <w:tr w:rsidTr="00A1284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284D" w:rsidP="00A1284D">
            <w:pPr>
              <w:pStyle w:val="BodyText"/>
            </w:pPr>
            <w:r w:rsidRPr="00A1284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1284D">
            <w:pPr>
              <w:pStyle w:val="BodyText"/>
              <w:rPr>
                <w:lang w:val="en-NZ"/>
              </w:rPr>
            </w:pPr>
            <w:r w:rsidRPr="00A1284D">
              <w:rPr>
                <w:rStyle w:val="SpecialBold"/>
              </w:rPr>
              <w:t>PERFORMANCE</w:t>
            </w:r>
            <w:r w:rsidRPr="00A1284D">
              <w:t xml:space="preserve"> </w:t>
            </w:r>
            <w:r w:rsidRPr="00A1284D">
              <w:rPr>
                <w:rStyle w:val="SpecialBold"/>
              </w:rPr>
              <w:t>CRITERIA</w:t>
            </w:r>
          </w:p>
        </w:tc>
      </w:tr>
      <w:tr w:rsidTr="00A128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1284D" w:rsidP="00A1284D">
            <w:pPr>
              <w:pStyle w:val="BodyText"/>
            </w:pPr>
            <w:r w:rsidRPr="00A1284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1284D">
            <w:pPr>
              <w:pStyle w:val="BodyText"/>
              <w:rPr>
                <w:lang w:val="en-NZ"/>
              </w:rPr>
            </w:pPr>
            <w:r w:rsidRPr="00A1284D">
              <w:rPr>
                <w:rStyle w:val="Emphasis"/>
              </w:rPr>
              <w:t>Performance criteria describe the performance needed to demonstrate achievement of the element.</w:t>
            </w:r>
          </w:p>
        </w:tc>
      </w:tr>
      <w:tr w:rsidTr="00A1284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1284D">
            <w:pPr>
              <w:pStyle w:val="List"/>
              <w:rPr>
                <w:lang w:val="en-NZ"/>
              </w:rPr>
            </w:pPr>
            <w:r w:rsidRPr="00A1284D">
              <w:t xml:space="preserve">1.  Identify medication to treat malignant diseases and immunosuppressive </w:t>
            </w:r>
            <w:r w:rsidRPr="00A1284D">
              <w:t>disorders.</w:t>
            </w:r>
          </w:p>
        </w:tc>
        <w:tc>
          <w:tcPr>
            <w:tcW w:w="6350" w:type="dxa"/>
            <w:tcBorders>
              <w:top w:val="nil"/>
              <w:left w:val="nil"/>
              <w:bottom w:val="nil"/>
              <w:right w:val="nil"/>
            </w:tcBorders>
            <w:tcMar>
              <w:top w:w="0" w:type="dxa"/>
              <w:left w:w="62" w:type="dxa"/>
              <w:bottom w:w="0" w:type="dxa"/>
              <w:right w:w="62" w:type="dxa"/>
            </w:tcMar>
          </w:tcPr>
          <w:p w:rsidR="00000000" w:rsidRPr="00A1284D" w:rsidP="00A1284D">
            <w:pPr>
              <w:pStyle w:val="List"/>
            </w:pPr>
            <w:r w:rsidRPr="00A1284D">
              <w:t>1.1. Identify the malignant diseases and immunosuppressive disorders being</w:t>
            </w:r>
            <w:r w:rsidRPr="00A1284D">
              <w:t xml:space="preserve"> treated.</w:t>
            </w:r>
          </w:p>
          <w:p w:rsidR="00000000" w:rsidRPr="00A1284D" w:rsidP="00A1284D">
            <w:pPr>
              <w:pStyle w:val="List"/>
            </w:pPr>
            <w:r w:rsidRPr="00A1284D">
              <w:t xml:space="preserve">1.2. Identify the factors that lead to the successful medicinal </w:t>
            </w:r>
            <w:r w:rsidRPr="00A1284D">
              <w:t>treatment of malignant diseases and immunosuppressive disorders.</w:t>
            </w:r>
          </w:p>
          <w:p w:rsidR="00000000" w:rsidP="00A1284D">
            <w:pPr>
              <w:pStyle w:val="List"/>
              <w:rPr>
                <w:lang w:val="en-NZ"/>
              </w:rPr>
            </w:pPr>
            <w:r w:rsidRPr="00A1284D">
              <w:t>1.3. Consult authorised personnel to verify the successful medicinal treatment of malignant diseases and immunosuppre</w:t>
            </w:r>
            <w:r w:rsidRPr="00A1284D">
              <w:t>ssive disorders.</w:t>
            </w:r>
          </w:p>
        </w:tc>
      </w:tr>
      <w:tr w:rsidTr="00A128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1284D">
            <w:pPr>
              <w:pStyle w:val="List"/>
              <w:rPr>
                <w:lang w:val="en-NZ"/>
              </w:rPr>
            </w:pPr>
            <w:r w:rsidRPr="00A1284D">
              <w:t>2.  Prepare appropriate medication to treat malignant diseases and immunosuppressive disorders to dispense to patients.</w:t>
            </w:r>
          </w:p>
        </w:tc>
        <w:tc>
          <w:tcPr>
            <w:tcW w:w="6350" w:type="dxa"/>
            <w:tcBorders>
              <w:top w:val="nil"/>
              <w:left w:val="nil"/>
              <w:bottom w:val="nil"/>
              <w:right w:val="nil"/>
            </w:tcBorders>
            <w:tcMar>
              <w:top w:w="0" w:type="dxa"/>
              <w:left w:w="62" w:type="dxa"/>
              <w:bottom w:w="0" w:type="dxa"/>
              <w:right w:w="62" w:type="dxa"/>
            </w:tcMar>
          </w:tcPr>
          <w:p w:rsidR="00000000" w:rsidRPr="00A1284D" w:rsidP="00A1284D">
            <w:pPr>
              <w:pStyle w:val="List"/>
            </w:pPr>
            <w:r w:rsidRPr="00A1284D">
              <w:t>2.1. Identify the appropriate malignant diseases and immunosuppressive disorders medication to be dispensed to patient</w:t>
            </w:r>
            <w:r w:rsidRPr="00A1284D">
              <w:t>s in accordance with Work Health and Safety (WHS) policies, guidelines and symbols.</w:t>
            </w:r>
          </w:p>
          <w:p w:rsidR="00000000" w:rsidP="00A1284D">
            <w:pPr>
              <w:pStyle w:val="List"/>
              <w:rPr>
                <w:lang w:val="en-NZ"/>
              </w:rPr>
            </w:pPr>
            <w:r w:rsidRPr="00A1284D">
              <w:t>2.2. Confirm the medication to be dispensed to the patient with an authorised person and prepare as directed.</w:t>
            </w:r>
          </w:p>
        </w:tc>
      </w:tr>
      <w:tr w:rsidTr="00A128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1284D">
            <w:pPr>
              <w:pStyle w:val="List"/>
              <w:rPr>
                <w:lang w:val="en-NZ"/>
              </w:rPr>
            </w:pPr>
            <w:r w:rsidRPr="00A1284D">
              <w:t>3.  Prepare to provide a continuing medication education session for peers.</w:t>
            </w:r>
          </w:p>
        </w:tc>
        <w:tc>
          <w:tcPr>
            <w:tcW w:w="6350" w:type="dxa"/>
            <w:tcBorders>
              <w:top w:val="nil"/>
              <w:left w:val="nil"/>
              <w:bottom w:val="nil"/>
              <w:right w:val="nil"/>
            </w:tcBorders>
            <w:tcMar>
              <w:top w:w="0" w:type="dxa"/>
              <w:left w:w="62" w:type="dxa"/>
              <w:bottom w:w="0" w:type="dxa"/>
              <w:right w:w="62" w:type="dxa"/>
            </w:tcMar>
          </w:tcPr>
          <w:p w:rsidR="00000000" w:rsidRPr="00A1284D" w:rsidP="00A1284D">
            <w:pPr>
              <w:pStyle w:val="List"/>
            </w:pPr>
            <w:r w:rsidRPr="00A1284D">
              <w:t>3.1. Obtain and read presentation materials for continuing medication education session.</w:t>
            </w:r>
          </w:p>
          <w:p w:rsidR="00000000" w:rsidRPr="00A1284D" w:rsidP="00A1284D">
            <w:pPr>
              <w:pStyle w:val="List"/>
            </w:pPr>
            <w:r w:rsidRPr="00A1284D">
              <w:t>3.2. Chose a delivery method for the continuing medication education session.</w:t>
            </w:r>
          </w:p>
          <w:p w:rsidR="00000000" w:rsidP="00A1284D">
            <w:pPr>
              <w:pStyle w:val="List"/>
              <w:rPr>
                <w:lang w:val="en-NZ"/>
              </w:rPr>
            </w:pPr>
            <w:r w:rsidRPr="00A1284D">
              <w:t>3.3. Make arr</w:t>
            </w:r>
            <w:r w:rsidRPr="00A1284D">
              <w:t>angements, including time, venue and logistical issues for the delivery of the continuing medication education session.</w:t>
            </w:r>
          </w:p>
        </w:tc>
      </w:tr>
      <w:tr w:rsidTr="00A128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1284D">
            <w:pPr>
              <w:pStyle w:val="List"/>
              <w:rPr>
                <w:lang w:val="en-NZ"/>
              </w:rPr>
            </w:pPr>
            <w:r w:rsidRPr="00A1284D">
              <w:t>4.  Deliver the continuing medication education session for peers.</w:t>
            </w:r>
          </w:p>
        </w:tc>
        <w:tc>
          <w:tcPr>
            <w:tcW w:w="6350" w:type="dxa"/>
            <w:tcBorders>
              <w:top w:val="nil"/>
              <w:left w:val="nil"/>
              <w:bottom w:val="nil"/>
              <w:right w:val="nil"/>
            </w:tcBorders>
            <w:tcMar>
              <w:top w:w="0" w:type="dxa"/>
              <w:left w:w="62" w:type="dxa"/>
              <w:bottom w:w="0" w:type="dxa"/>
              <w:right w:w="62" w:type="dxa"/>
            </w:tcMar>
          </w:tcPr>
          <w:p w:rsidR="00000000" w:rsidRPr="00A1284D" w:rsidP="00A1284D">
            <w:pPr>
              <w:pStyle w:val="List"/>
            </w:pPr>
            <w:r w:rsidRPr="00A1284D">
              <w:t>4.1. Describe malignant diseases, immunodeficiency and musculoskelet</w:t>
            </w:r>
            <w:r w:rsidRPr="00A1284D">
              <w:t>al disorders and associated symptoms for each disorder.</w:t>
            </w:r>
          </w:p>
          <w:p w:rsidR="00000000" w:rsidRPr="00A1284D" w:rsidP="00A1284D">
            <w:pPr>
              <w:pStyle w:val="List"/>
            </w:pPr>
            <w:r w:rsidRPr="00A1284D">
              <w:t>4.2. Explain common supportive care treatments as approved by an authorised person.</w:t>
            </w:r>
          </w:p>
          <w:p w:rsidR="00000000" w:rsidRPr="00A1284D" w:rsidP="00A1284D">
            <w:pPr>
              <w:pStyle w:val="List"/>
            </w:pPr>
            <w:r w:rsidRPr="00A1284D">
              <w:t>4.3. Explain the main effects of common medicines used for each of the disorders.</w:t>
            </w:r>
          </w:p>
          <w:p w:rsidR="00000000" w:rsidRPr="00A1284D" w:rsidP="00A1284D">
            <w:pPr>
              <w:pStyle w:val="List"/>
            </w:pPr>
            <w:r w:rsidRPr="00A1284D">
              <w:t>4.4. Refer to appropriate referenc</w:t>
            </w:r>
            <w:r w:rsidRPr="00A1284D">
              <w:t>es to identify the requirements relating to the findings.</w:t>
            </w:r>
          </w:p>
          <w:p w:rsidR="00000000" w:rsidRPr="00A1284D" w:rsidP="00A1284D">
            <w:pPr>
              <w:pStyle w:val="List"/>
            </w:pPr>
            <w:r w:rsidRPr="00A1284D">
              <w:t>4.5. Use patient case studies to demonstrate treatment types, duration, side effects and further treatment.</w:t>
            </w:r>
          </w:p>
          <w:p w:rsidR="00000000" w:rsidRPr="00A1284D" w:rsidP="00A1284D">
            <w:pPr>
              <w:pStyle w:val="List"/>
            </w:pPr>
            <w:r w:rsidRPr="00A1284D">
              <w:t>4.6. Present the standard medication references and your organisation</w:t>
            </w:r>
            <w:r>
              <w:t>’</w:t>
            </w:r>
            <w:r w:rsidRPr="00A1284D">
              <w:t>s prescribed policie</w:t>
            </w:r>
            <w:r w:rsidRPr="00A1284D">
              <w:t>s.</w:t>
            </w:r>
          </w:p>
        </w:tc>
      </w:tr>
    </w:tbl>
    <w:p w:rsidR="00000000" w:rsidRPr="00A1284D" w:rsidP="00A1284D">
      <w:pPr>
        <w:pStyle w:val="BodyText"/>
      </w:pPr>
    </w:p>
    <w:p w:rsidR="00000000" w:rsidRPr="00A1284D" w:rsidP="00A1284D">
      <w:pPr>
        <w:pStyle w:val="AllowPageBreak"/>
      </w:pPr>
    </w:p>
    <w:p w:rsidR="00000000" w:rsidRPr="00A1284D" w:rsidP="00A1284D">
      <w:pPr>
        <w:pStyle w:val="Heading1"/>
      </w:pPr>
      <w:bookmarkStart w:id="7" w:name="O_1225616"/>
      <w:bookmarkEnd w:id="7"/>
      <w:r w:rsidRPr="00A1284D">
        <w:t>Foundation Skills</w:t>
      </w:r>
    </w:p>
    <w:p w:rsidR="00000000" w:rsidRPr="0063712A" w:rsidP="0063712A">
      <w:pPr>
        <w:pStyle w:val="BodyText"/>
        <w:rPr>
          <w:i/>
        </w:rPr>
      </w:pPr>
      <w:r w:rsidRPr="0063712A">
        <w:rPr>
          <w:rStyle w:val="Emphasis"/>
        </w:rPr>
        <w:t>Foundation skills essential to performance are explicit in the performance criteria of this unit of competency.</w:t>
      </w:r>
    </w:p>
    <w:p w:rsidR="00000000" w:rsidRPr="00A1284D" w:rsidP="00A1284D">
      <w:pPr>
        <w:pStyle w:val="Heading1"/>
      </w:pPr>
      <w:bookmarkStart w:id="8" w:name="O_1225618"/>
      <w:bookmarkEnd w:id="8"/>
      <w:r w:rsidRPr="00A1284D">
        <w:t>Unit Mapping Information</w:t>
      </w:r>
    </w:p>
    <w:p w:rsidR="00000000" w:rsidRPr="00A1284D" w:rsidP="0063712A">
      <w:pPr>
        <w:pStyle w:val="BodyText"/>
      </w:pPr>
      <w:r w:rsidRPr="00A1284D">
        <w:t>No equivalent unit.</w:t>
      </w:r>
    </w:p>
    <w:p w:rsidR="00000000" w:rsidRPr="00A1284D" w:rsidP="00A1284D">
      <w:pPr>
        <w:pStyle w:val="Heading1"/>
      </w:pPr>
      <w:bookmarkStart w:id="9" w:name="O_1225625"/>
      <w:bookmarkEnd w:id="9"/>
      <w:r w:rsidRPr="00A1284D">
        <w:t>Links</w:t>
      </w:r>
    </w:p>
    <w:p w:rsidR="00000000" w:rsidRPr="00A1284D" w:rsidP="0063712A">
      <w:pPr>
        <w:pStyle w:val="BodyText"/>
      </w:pPr>
      <w:r w:rsidRPr="00A1284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514CC">
        <w:rPr>
          <w:rStyle w:val="Hyperlink"/>
        </w:rPr>
        <w:t>https://vetnet.gov.au/Pages/TrainingDocs.aspx?q=ced1390f-48d9-4ab0-bd50-b015e5485705</w:t>
      </w:r>
      <w:r>
        <w:fldChar w:fldCharType="end"/>
      </w:r>
    </w:p>
    <w:p w:rsidR="00000000" w:rsidRPr="00A1284D" w:rsidP="0063712A">
      <w:pPr>
        <w:pStyle w:val="BodyText"/>
        <w:sectPr w:rsidSect="00A1284D">
          <w:headerReference w:type="default" r:id="rId10"/>
          <w:footerReference w:type="default" r:id="rId11"/>
          <w:pgSz w:w="11908" w:h="16833"/>
          <w:pgMar w:top="1702" w:right="1418" w:bottom="1702" w:left="1418" w:header="992" w:footer="992" w:gutter="0"/>
          <w:cols w:space="720"/>
          <w:noEndnote/>
          <w:docGrid w:linePitch="299"/>
        </w:sectPr>
      </w:pPr>
    </w:p>
    <w:p w:rsidR="00000000" w:rsidRPr="00A1284D" w:rsidP="00A1284D">
      <w:pPr>
        <w:pStyle w:val="SuperHeading"/>
      </w:pPr>
      <w:r w:rsidRPr="00A1284D">
        <w:t>Assessment Requirements for HLTPHA027 Apply knowledge of malign</w:t>
      </w:r>
      <w:r w:rsidRPr="00A1284D">
        <w:t>ant diseases and immunosuppressive disorders to dispense medication</w:t>
      </w:r>
    </w:p>
    <w:p w:rsidR="00000000" w:rsidRPr="00A1284D" w:rsidP="00A1284D">
      <w:pPr>
        <w:pStyle w:val="Heading1"/>
      </w:pPr>
      <w:bookmarkStart w:id="10" w:name="O_1225620"/>
      <w:bookmarkEnd w:id="10"/>
      <w:r w:rsidRPr="00A1284D">
        <w:t>Modification History</w:t>
      </w:r>
    </w:p>
    <w:p w:rsidR="00000000" w:rsidRPr="00A1284D" w:rsidP="0063712A">
      <w:pPr>
        <w:pStyle w:val="BodyText"/>
      </w:pPr>
      <w:r w:rsidRPr="00A1284D">
        <w:t>Not applicable.</w:t>
      </w:r>
    </w:p>
    <w:p w:rsidR="00000000" w:rsidRPr="00A1284D" w:rsidP="00A1284D">
      <w:pPr>
        <w:pStyle w:val="Heading1"/>
      </w:pPr>
      <w:bookmarkStart w:id="11" w:name="O_1225621"/>
      <w:bookmarkEnd w:id="11"/>
      <w:r w:rsidRPr="00A1284D">
        <w:t>Performance Evidence</w:t>
      </w:r>
    </w:p>
    <w:p w:rsidR="00000000" w:rsidRPr="00A1284D" w:rsidP="0063712A">
      <w:pPr>
        <w:pStyle w:val="BodyText"/>
      </w:pPr>
      <w:r w:rsidRPr="00A1284D">
        <w:t>Evidence of the ability to complete tasks outlined in elements and performance criteria of this unit in the context of the job role, and:</w:t>
      </w:r>
    </w:p>
    <w:p w:rsidR="00000000" w:rsidRPr="00A1284D" w:rsidP="00A1284D">
      <w:pPr>
        <w:pStyle w:val="ListBullet"/>
      </w:pPr>
      <w:r w:rsidRPr="00A1284D">
        <w:t>prepare and dispense Immunosuppressive medication on at least 10 occasions, including:</w:t>
      </w:r>
    </w:p>
    <w:p w:rsidR="00000000" w:rsidRPr="00A1284D" w:rsidP="00A1284D">
      <w:pPr>
        <w:pStyle w:val="ListBullet2"/>
      </w:pPr>
      <w:r w:rsidRPr="00A1284D">
        <w:t xml:space="preserve">demonstrating the ability to </w:t>
      </w:r>
      <w:r w:rsidRPr="00A1284D">
        <w:t>source information</w:t>
      </w:r>
    </w:p>
    <w:p w:rsidR="00000000" w:rsidRPr="00A1284D" w:rsidP="00A1284D">
      <w:pPr>
        <w:pStyle w:val="ListBullet2"/>
      </w:pPr>
      <w:r w:rsidRPr="00A1284D">
        <w:t>confirming medication dispensing with an authorised person</w:t>
      </w:r>
    </w:p>
    <w:p w:rsidR="00000000" w:rsidRPr="00A1284D" w:rsidP="00A1284D">
      <w:pPr>
        <w:pStyle w:val="ListBullet"/>
      </w:pPr>
      <w:r w:rsidRPr="00A1284D">
        <w:t>provide a continuing medication education session focusing on the pharmaceutical aspects, that includes:</w:t>
      </w:r>
    </w:p>
    <w:p w:rsidR="00000000" w:rsidRPr="00A1284D" w:rsidP="00A1284D">
      <w:pPr>
        <w:pStyle w:val="ListBullet2"/>
      </w:pPr>
      <w:r w:rsidRPr="00A1284D">
        <w:t>at least two malignant diseases, focussing on the appropriate supportive care treatments and the reasons for their use</w:t>
      </w:r>
    </w:p>
    <w:p w:rsidR="00000000" w:rsidRPr="00A1284D" w:rsidP="00A1284D">
      <w:pPr>
        <w:pStyle w:val="ListBullet2"/>
      </w:pPr>
      <w:r w:rsidRPr="00A1284D">
        <w:t>at least one condition that requires immunosuppressive medication</w:t>
      </w:r>
    </w:p>
    <w:p w:rsidR="00000000" w:rsidRPr="00A1284D" w:rsidP="00A1284D">
      <w:pPr>
        <w:pStyle w:val="ListBullet2"/>
      </w:pPr>
      <w:r w:rsidRPr="00A1284D">
        <w:t>session delivery methods, including:</w:t>
      </w:r>
    </w:p>
    <w:p w:rsidR="00000000" w:rsidRPr="00A1284D" w:rsidP="00A1284D">
      <w:pPr>
        <w:pStyle w:val="ListBullet3"/>
      </w:pPr>
      <w:r w:rsidRPr="00A1284D">
        <w:t>digital presentation</w:t>
      </w:r>
    </w:p>
    <w:p w:rsidR="00000000" w:rsidRPr="00A1284D" w:rsidP="00A1284D">
      <w:pPr>
        <w:pStyle w:val="ListBullet3"/>
      </w:pPr>
      <w:r w:rsidRPr="00A1284D">
        <w:t>demonstration</w:t>
      </w:r>
    </w:p>
    <w:p w:rsidR="00000000" w:rsidRPr="00A1284D" w:rsidP="00A1284D">
      <w:pPr>
        <w:pStyle w:val="ListBullet3"/>
      </w:pPr>
      <w:r w:rsidRPr="00A1284D">
        <w:t>referral to findings</w:t>
      </w:r>
    </w:p>
    <w:p w:rsidR="00000000" w:rsidRPr="00A1284D" w:rsidP="00A1284D">
      <w:pPr>
        <w:pStyle w:val="ListBullet3"/>
      </w:pPr>
      <w:r w:rsidRPr="00A1284D">
        <w:t>activities and questions</w:t>
      </w:r>
    </w:p>
    <w:p w:rsidR="00000000" w:rsidRPr="00A1284D" w:rsidP="00A1284D">
      <w:pPr>
        <w:pStyle w:val="ListBullet"/>
      </w:pPr>
      <w:r w:rsidRPr="00A1284D">
        <w:t>perform the activities outlined in the performance criteria of this unit during a period of 240 hours of work related to hospital pharmacy support in a clinical workplace environment. These 240 h</w:t>
      </w:r>
      <w:r w:rsidRPr="00A1284D">
        <w:t>ours may be applied collectively across all units of competency that include the requirement for workplace hours for the purposes of assessment.</w:t>
      </w:r>
    </w:p>
    <w:p w:rsidR="00000000" w:rsidRPr="00A1284D" w:rsidP="00A1284D">
      <w:pPr>
        <w:pStyle w:val="AllowPageBreak"/>
      </w:pPr>
    </w:p>
    <w:p w:rsidR="00000000" w:rsidRPr="00A1284D" w:rsidP="00A1284D">
      <w:pPr>
        <w:pStyle w:val="Heading1"/>
      </w:pPr>
      <w:bookmarkStart w:id="12" w:name="O_1225622"/>
      <w:bookmarkEnd w:id="12"/>
      <w:r w:rsidRPr="00A1284D">
        <w:t>Knowledge Evidence</w:t>
      </w:r>
    </w:p>
    <w:p w:rsidR="00000000" w:rsidRPr="00A1284D" w:rsidP="0063712A">
      <w:pPr>
        <w:pStyle w:val="BodyText"/>
      </w:pPr>
      <w:r w:rsidRPr="00A1284D">
        <w:t>Demonstrated knowledge required to complete the tasks outlined in element</w:t>
      </w:r>
      <w:r w:rsidRPr="00A1284D">
        <w:t>s and performance criteria of this unit:</w:t>
      </w:r>
    </w:p>
    <w:p w:rsidR="00000000" w:rsidRPr="00A1284D" w:rsidP="00A1284D">
      <w:pPr>
        <w:pStyle w:val="ListBullet"/>
      </w:pPr>
      <w:r w:rsidRPr="00A1284D">
        <w:t>understand information on malignant diseases and immunosuppressive disorders including:</w:t>
      </w:r>
    </w:p>
    <w:p w:rsidR="00000000" w:rsidRPr="00A1284D" w:rsidP="00A1284D">
      <w:pPr>
        <w:pStyle w:val="ListBullet2"/>
      </w:pPr>
      <w:r w:rsidRPr="00A1284D">
        <w:t>malignant diseases and immune related disorders that require immunosuppressive medication and determine appropriate treatment</w:t>
      </w:r>
      <w:r w:rsidRPr="00A1284D">
        <w:t>s and reasons for their use</w:t>
      </w:r>
    </w:p>
    <w:p w:rsidR="00000000" w:rsidRPr="00A1284D" w:rsidP="00A1284D">
      <w:pPr>
        <w:pStyle w:val="ListBullet2"/>
      </w:pPr>
      <w:r w:rsidRPr="00A1284D">
        <w:t>medication used for each treatment and the supportive care medications required</w:t>
      </w:r>
    </w:p>
    <w:p w:rsidR="00000000" w:rsidRPr="00A1284D" w:rsidP="00A1284D">
      <w:pPr>
        <w:pStyle w:val="ListBullet2"/>
      </w:pPr>
      <w:r w:rsidRPr="00A1284D">
        <w:t>side effects of the medication</w:t>
      </w:r>
    </w:p>
    <w:p w:rsidR="00000000" w:rsidRPr="00A1284D" w:rsidP="00A1284D">
      <w:pPr>
        <w:pStyle w:val="ListBullet2"/>
      </w:pPr>
      <w:r w:rsidRPr="00A1284D">
        <w:t>adverse reactions to medication that require referral to an authorised person</w:t>
      </w:r>
    </w:p>
    <w:p w:rsidR="00000000" w:rsidRPr="00A1284D" w:rsidP="00A1284D">
      <w:pPr>
        <w:pStyle w:val="ListBullet2"/>
      </w:pPr>
      <w:r w:rsidRPr="00A1284D">
        <w:t>relevant information for review by an authorised person</w:t>
      </w:r>
    </w:p>
    <w:p w:rsidR="00000000" w:rsidRPr="00A1284D" w:rsidP="00A1284D">
      <w:pPr>
        <w:pStyle w:val="ListBullet"/>
      </w:pPr>
      <w:r w:rsidRPr="00A1284D">
        <w:t>standard pharmaceutical references, including:</w:t>
      </w:r>
    </w:p>
    <w:p w:rsidR="00000000" w:rsidRPr="00A1284D" w:rsidP="00A1284D">
      <w:pPr>
        <w:pStyle w:val="ListBullet2"/>
      </w:pPr>
      <w:r w:rsidRPr="00A1284D">
        <w:t>Australian Medicines Handbook (AMH)</w:t>
      </w:r>
    </w:p>
    <w:p w:rsidR="00000000" w:rsidRPr="00A1284D" w:rsidP="00A1284D">
      <w:pPr>
        <w:pStyle w:val="ListBullet2"/>
      </w:pPr>
      <w:r w:rsidRPr="00A1284D">
        <w:t>Australian Pharmaceutical Formulary Handbook (APF)</w:t>
      </w:r>
    </w:p>
    <w:p w:rsidR="00000000" w:rsidRPr="00A1284D" w:rsidP="00A1284D">
      <w:pPr>
        <w:pStyle w:val="ListBullet2"/>
      </w:pPr>
      <w:r w:rsidRPr="00A1284D">
        <w:t>Monthly Index of Medical Specialities (MIMS) or AusDI Advanced</w:t>
      </w:r>
    </w:p>
    <w:p w:rsidR="00000000" w:rsidRPr="00A1284D" w:rsidP="00A1284D">
      <w:pPr>
        <w:pStyle w:val="ListBullet2"/>
      </w:pPr>
      <w:r w:rsidRPr="00A1284D">
        <w:t>M</w:t>
      </w:r>
      <w:r w:rsidRPr="00A1284D">
        <w:t>icromedex</w:t>
      </w:r>
    </w:p>
    <w:p w:rsidR="00000000" w:rsidRPr="00A1284D" w:rsidP="00A1284D">
      <w:pPr>
        <w:pStyle w:val="ListBullet"/>
      </w:pPr>
      <w:r w:rsidRPr="00A1284D">
        <w:t>relevant National, State or Territory regulatory and legislative requirements</w:t>
      </w:r>
    </w:p>
    <w:p w:rsidR="00000000" w:rsidRPr="00A1284D" w:rsidP="00A1284D">
      <w:pPr>
        <w:pStyle w:val="ListBullet"/>
      </w:pPr>
      <w:r w:rsidRPr="00A1284D">
        <w:t>the legal responsibilities of providers of health care in relation to confidentiality, patient rights, duty of care and implications of negligence</w:t>
      </w:r>
    </w:p>
    <w:p w:rsidR="00000000" w:rsidRPr="00A1284D" w:rsidP="00A1284D">
      <w:pPr>
        <w:pStyle w:val="ListBullet"/>
      </w:pPr>
      <w:r w:rsidRPr="00A1284D">
        <w:t>limitations of own w</w:t>
      </w:r>
      <w:r w:rsidRPr="00A1284D">
        <w:t>ork role including identification and referring of issues outside scope of own practice to the authorised person</w:t>
      </w:r>
    </w:p>
    <w:p w:rsidR="00000000" w:rsidRPr="00A1284D" w:rsidP="00A1284D">
      <w:pPr>
        <w:pStyle w:val="ListBullet"/>
      </w:pPr>
      <w:r w:rsidRPr="00A1284D">
        <w:t>Work Health and Safety (WHS) policies, guidelines and symbols and their relevance to dispensing medication</w:t>
      </w:r>
    </w:p>
    <w:p w:rsidR="00000000" w:rsidRPr="00A1284D" w:rsidP="00A1284D">
      <w:pPr>
        <w:pStyle w:val="ListBullet"/>
      </w:pPr>
      <w:r w:rsidRPr="00A1284D">
        <w:t>common malignant diseases:</w:t>
      </w:r>
    </w:p>
    <w:p w:rsidR="00000000" w:rsidRPr="00A1284D" w:rsidP="00A1284D">
      <w:pPr>
        <w:pStyle w:val="ListBullet2"/>
      </w:pPr>
      <w:r w:rsidRPr="00A1284D">
        <w:t>carcinoma</w:t>
      </w:r>
    </w:p>
    <w:p w:rsidR="00000000" w:rsidRPr="00A1284D" w:rsidP="00A1284D">
      <w:pPr>
        <w:pStyle w:val="ListBullet2"/>
      </w:pPr>
      <w:r w:rsidRPr="00A1284D">
        <w:t>leukaemia</w:t>
      </w:r>
    </w:p>
    <w:p w:rsidR="00000000" w:rsidRPr="00A1284D" w:rsidP="00A1284D">
      <w:pPr>
        <w:pStyle w:val="ListBullet2"/>
      </w:pPr>
      <w:r w:rsidRPr="00A1284D">
        <w:t>lymphoma</w:t>
      </w:r>
    </w:p>
    <w:p w:rsidR="00000000" w:rsidRPr="00A1284D" w:rsidP="00A1284D">
      <w:pPr>
        <w:pStyle w:val="ListBullet2"/>
      </w:pPr>
      <w:r w:rsidRPr="00A1284D">
        <w:t>melanomas</w:t>
      </w:r>
    </w:p>
    <w:p w:rsidR="00000000" w:rsidRPr="00A1284D" w:rsidP="00A1284D">
      <w:pPr>
        <w:pStyle w:val="ListBullet"/>
      </w:pPr>
      <w:r w:rsidRPr="00A1284D">
        <w:t>basic difference between healthy and malignant cells:</w:t>
      </w:r>
    </w:p>
    <w:p w:rsidR="00000000" w:rsidRPr="00A1284D" w:rsidP="00A1284D">
      <w:pPr>
        <w:pStyle w:val="ListBullet2"/>
      </w:pPr>
      <w:r w:rsidRPr="00A1284D">
        <w:t>growth in contrast to normal cells, cancer cells do not stop growing and dividing that results in the formation of a tumour</w:t>
      </w:r>
    </w:p>
    <w:p w:rsidR="00000000" w:rsidRPr="00A1284D" w:rsidP="00A1284D">
      <w:pPr>
        <w:pStyle w:val="ListBullet2"/>
      </w:pPr>
      <w:r w:rsidRPr="00A1284D">
        <w:t xml:space="preserve">communication including cancer cells </w:t>
      </w:r>
      <w:r w:rsidRPr="00A1284D">
        <w:t>do not interact with other cells as normal cells do</w:t>
      </w:r>
    </w:p>
    <w:p w:rsidR="00000000" w:rsidRPr="00A1284D" w:rsidP="00A1284D">
      <w:pPr>
        <w:pStyle w:val="ListBullet2"/>
      </w:pPr>
      <w:r w:rsidRPr="00A1284D">
        <w:t>cell repair and cell death including normal cells are either repaired or undergo apoptosis when they are damaged or get old, whereas cancer cells don</w:t>
      </w:r>
      <w:r>
        <w:t>’</w:t>
      </w:r>
      <w:r w:rsidRPr="00A1284D">
        <w:t>t undergo apoptosis</w:t>
      </w:r>
    </w:p>
    <w:p w:rsidR="00000000" w:rsidRPr="00A1284D" w:rsidP="00A1284D">
      <w:pPr>
        <w:pStyle w:val="ListBullet"/>
      </w:pPr>
      <w:r w:rsidRPr="00A1284D">
        <w:t>the role of common supportive car</w:t>
      </w:r>
      <w:r w:rsidRPr="00A1284D">
        <w:t>e medications for oncology patients and non-pharmacology methods to improve quality of life</w:t>
      </w:r>
    </w:p>
    <w:p w:rsidR="00000000" w:rsidRPr="00A1284D" w:rsidP="00A1284D">
      <w:pPr>
        <w:pStyle w:val="ListBullet"/>
      </w:pPr>
      <w:r w:rsidRPr="00A1284D">
        <w:t>presentation methods for continuing education.</w:t>
      </w:r>
    </w:p>
    <w:p w:rsidR="00000000" w:rsidRPr="00A1284D" w:rsidP="00A1284D">
      <w:pPr>
        <w:pStyle w:val="AllowPageBreak"/>
      </w:pPr>
    </w:p>
    <w:p w:rsidR="00000000" w:rsidRPr="00A1284D" w:rsidP="00A1284D">
      <w:pPr>
        <w:pStyle w:val="Heading1"/>
      </w:pPr>
      <w:bookmarkStart w:id="13" w:name="O_1225623"/>
      <w:bookmarkEnd w:id="13"/>
      <w:r w:rsidRPr="00A1284D">
        <w:t>Assessment Conditions</w:t>
      </w:r>
    </w:p>
    <w:p w:rsidR="00000000" w:rsidRPr="00A1284D" w:rsidP="0063712A">
      <w:pPr>
        <w:pStyle w:val="BodyText"/>
      </w:pPr>
      <w:r w:rsidRPr="00A1284D">
        <w:t>Skills must be demonstra</w:t>
      </w:r>
      <w:r w:rsidRPr="00A1284D">
        <w:t>ted in the workplace with the addition of simulations and scenarios where the full range of contexts and situations have not been provided in the workplace.</w:t>
      </w:r>
    </w:p>
    <w:p w:rsidR="00000000" w:rsidRPr="00A1284D" w:rsidP="0063712A">
      <w:pPr>
        <w:pStyle w:val="BodyText"/>
      </w:pPr>
      <w:r w:rsidRPr="00A1284D">
        <w:t>Assessment must ensure access to:</w:t>
      </w:r>
    </w:p>
    <w:p w:rsidR="00000000" w:rsidRPr="00A1284D" w:rsidP="00A1284D">
      <w:pPr>
        <w:pStyle w:val="ListBullet"/>
      </w:pPr>
      <w:r w:rsidRPr="00A1284D">
        <w:t>use of suitable facilities, equipment and resources, including:</w:t>
      </w:r>
    </w:p>
    <w:p w:rsidR="00000000" w:rsidRPr="00A1284D" w:rsidP="00A1284D">
      <w:pPr>
        <w:pStyle w:val="ListBullet2"/>
      </w:pPr>
      <w:r w:rsidRPr="00A1284D">
        <w:t>relevant legislation, regulations and guidelines</w:t>
      </w:r>
    </w:p>
    <w:p w:rsidR="00000000" w:rsidRPr="00A1284D" w:rsidP="00A1284D">
      <w:pPr>
        <w:pStyle w:val="ListBullet2"/>
      </w:pPr>
      <w:r w:rsidRPr="00A1284D">
        <w:t>medicine information and resources on malignant disease and immunosuppressive disorders</w:t>
      </w:r>
    </w:p>
    <w:p w:rsidR="00000000" w:rsidRPr="00A1284D" w:rsidP="00A1284D">
      <w:pPr>
        <w:pStyle w:val="ListBullet"/>
      </w:pPr>
      <w:r w:rsidRPr="00A1284D">
        <w:t>authorised person with whom to consult.</w:t>
      </w:r>
    </w:p>
    <w:p w:rsidR="00000000" w:rsidRPr="00A1284D" w:rsidP="0063712A">
      <w:pPr>
        <w:pStyle w:val="BodyText"/>
      </w:pPr>
      <w:r w:rsidRPr="00A1284D">
        <w:t>Assessors must satisfy the Standards for Registered Training Organisations’ r</w:t>
      </w:r>
      <w:r w:rsidRPr="00A1284D">
        <w:t>equirements for assessors.</w:t>
      </w:r>
    </w:p>
    <w:p w:rsidR="00000000" w:rsidRPr="00A1284D" w:rsidP="00A1284D">
      <w:pPr>
        <w:pStyle w:val="Heading1"/>
      </w:pPr>
      <w:bookmarkStart w:id="14" w:name="O_1225626"/>
      <w:bookmarkEnd w:id="14"/>
      <w:r w:rsidRPr="00A1284D">
        <w:t>Links</w:t>
      </w:r>
    </w:p>
    <w:p w:rsidR="00000000" w:rsidRPr="00A1284D" w:rsidP="0063712A">
      <w:pPr>
        <w:pStyle w:val="BodyText"/>
      </w:pPr>
      <w:r w:rsidRPr="00A1284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514CC">
        <w:rPr>
          <w:rStyle w:val="Hyperlink"/>
        </w:rPr>
        <w:t>https://vetnet.gov.au/Pages/TrainingDocs.aspx?q=ced1390f-48d9-4ab0-bd50-b015e5485705</w:t>
      </w:r>
      <w:r>
        <w:fldChar w:fldCharType="end"/>
      </w:r>
    </w:p>
    <w:p w:rsidR="00000000" w:rsidRPr="00A1284D" w:rsidP="00A1284D"/>
    <w:sectPr w:rsidSect="00A12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rsidRPr="0063712A" w:rsidP="00637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2A" w:rsidP="00A12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12A" w:rsidP="00A12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712A" w:rsidP="00A12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rsidP="00A1284D">
    <w:pPr>
      <w:pStyle w:val="Footer"/>
      <w:framePr w:wrap="around"/>
    </w:pPr>
    <w:r>
      <w:fldChar w:fldCharType="begin"/>
    </w:r>
    <w:r>
      <w:instrText xml:space="preserve"> DOCPROPERTY  Subject  \* MERGEFORMAT </w:instrText>
    </w:r>
    <w:r>
      <w:fldChar w:fldCharType="separate"/>
    </w:r>
    <w:r w:rsidR="0063712A">
      <w:t>Approved</w:t>
    </w:r>
    <w:r w:rsidR="0063712A">
      <w:fldChar w:fldCharType="end"/>
    </w:r>
    <w:r>
      <w:tab/>
      <w:t xml:space="preserve">Page </w:t>
    </w:r>
    <w:r>
      <w:fldChar w:fldCharType="begin"/>
    </w:r>
    <w:r>
      <w:instrText xml:space="preserve"> PAGE  \* Arabic  \* MERGEFORMAT </w:instrText>
    </w:r>
    <w:r>
      <w:fldChar w:fldCharType="separate"/>
    </w:r>
    <w:r w:rsidR="006371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12A">
      <w:rPr>
        <w:noProof/>
      </w:rPr>
      <w:t>4</w:t>
    </w:r>
    <w:r>
      <w:rPr>
        <w:noProof/>
      </w:rPr>
      <w:fldChar w:fldCharType="end"/>
    </w:r>
  </w:p>
  <w:p w:rsidR="00A1284D" w:rsidP="00A1284D">
    <w:pPr>
      <w:pStyle w:val="Footer"/>
      <w:framePr w:wrap="around"/>
    </w:pPr>
    <w:r>
      <w:t xml:space="preserve">© Commonwealth of Australia, </w:t>
    </w:r>
    <w:r>
      <w:fldChar w:fldCharType="begin"/>
    </w:r>
    <w:r>
      <w:instrText xml:space="preserve"> DATE  \@ "yyyy"  \* MERGEFORMAT </w:instrText>
    </w:r>
    <w:r>
      <w:fldChar w:fldCharType="separate"/>
    </w:r>
    <w:r w:rsidR="0063712A">
      <w:rPr>
        <w:noProof/>
      </w:rPr>
      <w:t>2025</w:t>
    </w:r>
    <w:r>
      <w:fldChar w:fldCharType="end"/>
    </w:r>
    <w:r>
      <w:tab/>
    </w:r>
    <w:r>
      <w:fldChar w:fldCharType="begin"/>
    </w:r>
    <w:r>
      <w:instrText xml:space="preserve"> DOCPROPERTY  Author  \* MERGEFORMAT </w:instrText>
    </w:r>
    <w:r>
      <w:fldChar w:fldCharType="separate"/>
    </w:r>
    <w:r w:rsidR="0063712A">
      <w:t>HumanAbility</w:t>
    </w:r>
    <w:r w:rsidR="0063712A">
      <w:fldChar w:fldCharType="end"/>
    </w:r>
  </w:p>
  <w:p w:rsidR="00A1284D" w:rsidP="00A12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84D" w:rsidRPr="0063712A" w:rsidP="00637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2A" w:rsidRPr="002D2AF8" w:rsidP="00A1284D">
    <w:pPr>
      <w:pStyle w:val="Header"/>
      <w:framePr w:wrap="around"/>
    </w:pPr>
    <w:r>
      <w:fldChar w:fldCharType="begin"/>
    </w:r>
    <w:r>
      <w:instrText xml:space="preserve"> TITLE   \* MERGEFORMAT </w:instrText>
    </w:r>
    <w:r>
      <w:fldChar w:fldCharType="separate"/>
    </w:r>
    <w:r>
      <w:t>HLTPHA027 Apply knowledge of malignant diseases and immunosuppressive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12A" w:rsidP="00A12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4D" w:rsidRPr="002D2AF8" w:rsidP="00A1284D">
    <w:pPr>
      <w:pStyle w:val="Header"/>
      <w:framePr w:wrap="around"/>
    </w:pPr>
    <w:r>
      <w:fldChar w:fldCharType="begin"/>
    </w:r>
    <w:r>
      <w:instrText xml:space="preserve"> TITLE   \* MERGEFORMAT </w:instrText>
    </w:r>
    <w:r>
      <w:fldChar w:fldCharType="separate"/>
    </w:r>
    <w:r w:rsidR="0063712A">
      <w:t>HLTPHA027 Apply knowledge of malignant diseases and immunosuppressive disorders to dispense medication</w:t>
    </w:r>
    <w:r w:rsidR="0063712A">
      <w:fldChar w:fldCharType="end"/>
    </w:r>
    <w:r>
      <w:tab/>
      <w:t xml:space="preserve">Date this document was generated: </w:t>
    </w:r>
    <w:r>
      <w:fldChar w:fldCharType="begin"/>
    </w:r>
    <w:r>
      <w:instrText xml:space="preserve"> CREATEDATE  \@ "d MMMM yyyy"  \* MERGEFORMAT </w:instrText>
    </w:r>
    <w:r>
      <w:fldChar w:fldCharType="separate"/>
    </w:r>
    <w:r w:rsidR="0063712A">
      <w:rPr>
        <w:noProof/>
      </w:rPr>
      <w:t>2 March 2025</w:t>
    </w:r>
    <w:r>
      <w:fldChar w:fldCharType="end"/>
    </w:r>
  </w:p>
  <w:p w:rsidR="00A1284D" w:rsidP="00A12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0A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60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C3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84D"/>
    <w:pPr>
      <w:spacing w:before="360" w:after="60"/>
      <w:outlineLvl w:val="0"/>
    </w:pPr>
    <w:rPr>
      <w:sz w:val="32"/>
    </w:rPr>
  </w:style>
  <w:style w:type="paragraph" w:styleId="Heading2">
    <w:name w:val="heading 2"/>
    <w:basedOn w:val="HeadingBase"/>
    <w:next w:val="BodyText"/>
    <w:link w:val="Heading2Char"/>
    <w:qFormat/>
    <w:rsid w:val="00A1284D"/>
    <w:pPr>
      <w:keepLines/>
      <w:spacing w:before="240" w:after="120"/>
      <w:outlineLvl w:val="1"/>
    </w:pPr>
    <w:rPr>
      <w:sz w:val="28"/>
      <w:szCs w:val="40"/>
    </w:rPr>
  </w:style>
  <w:style w:type="paragraph" w:styleId="Heading3">
    <w:name w:val="heading 3"/>
    <w:basedOn w:val="HeadingBase"/>
    <w:next w:val="BodyText"/>
    <w:link w:val="Heading3Char"/>
    <w:qFormat/>
    <w:rsid w:val="00A1284D"/>
    <w:pPr>
      <w:spacing w:before="180" w:after="120"/>
      <w:outlineLvl w:val="2"/>
    </w:pPr>
    <w:rPr>
      <w:spacing w:val="-10"/>
      <w:kern w:val="32"/>
    </w:rPr>
  </w:style>
  <w:style w:type="paragraph" w:styleId="Heading4">
    <w:name w:val="heading 4"/>
    <w:basedOn w:val="HeadingBase"/>
    <w:next w:val="BodyText"/>
    <w:link w:val="Heading4Char"/>
    <w:qFormat/>
    <w:rsid w:val="00A1284D"/>
    <w:pPr>
      <w:spacing w:before="160" w:after="120"/>
      <w:outlineLvl w:val="3"/>
    </w:pPr>
    <w:rPr>
      <w:sz w:val="22"/>
    </w:rPr>
  </w:style>
  <w:style w:type="paragraph" w:styleId="Heading5">
    <w:name w:val="heading 5"/>
    <w:basedOn w:val="HeadingBase"/>
    <w:next w:val="Normal"/>
    <w:link w:val="Heading5Char"/>
    <w:qFormat/>
    <w:rsid w:val="00A1284D"/>
    <w:pPr>
      <w:spacing w:before="80"/>
      <w:outlineLvl w:val="4"/>
    </w:pPr>
    <w:rPr>
      <w:color w:val="918585"/>
      <w:sz w:val="20"/>
    </w:rPr>
  </w:style>
  <w:style w:type="paragraph" w:styleId="Heading6">
    <w:name w:val="heading 6"/>
    <w:basedOn w:val="HeadingBase"/>
    <w:next w:val="Normal"/>
    <w:link w:val="Heading6Char"/>
    <w:qFormat/>
    <w:rsid w:val="00A1284D"/>
    <w:pPr>
      <w:spacing w:before="60"/>
      <w:outlineLvl w:val="5"/>
    </w:pPr>
    <w:rPr>
      <w:color w:val="918585"/>
      <w:sz w:val="20"/>
    </w:rPr>
  </w:style>
  <w:style w:type="paragraph" w:styleId="Heading7">
    <w:name w:val="heading 7"/>
    <w:basedOn w:val="Normal"/>
    <w:next w:val="Normal"/>
    <w:link w:val="Heading7Char"/>
    <w:qFormat/>
    <w:rsid w:val="00A1284D"/>
    <w:pPr>
      <w:ind w:left="720"/>
      <w:outlineLvl w:val="6"/>
    </w:pPr>
    <w:rPr>
      <w:i/>
    </w:rPr>
  </w:style>
  <w:style w:type="paragraph" w:styleId="Heading8">
    <w:name w:val="heading 8"/>
    <w:basedOn w:val="Normal"/>
    <w:next w:val="Normal"/>
    <w:link w:val="Heading8Char"/>
    <w:qFormat/>
    <w:rsid w:val="00A1284D"/>
    <w:pPr>
      <w:ind w:left="720"/>
      <w:outlineLvl w:val="7"/>
    </w:pPr>
    <w:rPr>
      <w:i/>
    </w:rPr>
  </w:style>
  <w:style w:type="paragraph" w:styleId="Heading9">
    <w:name w:val="heading 9"/>
    <w:basedOn w:val="Normal"/>
    <w:next w:val="Normal"/>
    <w:link w:val="Heading9Char"/>
    <w:qFormat/>
    <w:rsid w:val="00A1284D"/>
    <w:pPr>
      <w:ind w:left="720"/>
      <w:outlineLvl w:val="8"/>
    </w:pPr>
    <w:rPr>
      <w:i/>
    </w:rPr>
  </w:style>
  <w:style w:type="character" w:default="1" w:styleId="DefaultParagraphFont">
    <w:name w:val="Default Paragraph Font"/>
    <w:uiPriority w:val="1"/>
    <w:unhideWhenUsed/>
    <w:rsid w:val="00A12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84D"/>
  </w:style>
  <w:style w:type="character" w:customStyle="1" w:styleId="Heading1Char">
    <w:name w:val="Heading 1 Char"/>
    <w:basedOn w:val="DefaultParagraphFont"/>
    <w:link w:val="Heading1"/>
    <w:rsid w:val="00A1284D"/>
    <w:rPr>
      <w:rFonts w:ascii="Times New Roman" w:eastAsia="Times New Roman" w:hAnsi="Times New Roman" w:cs="Times New Roman"/>
      <w:b/>
      <w:sz w:val="32"/>
      <w:szCs w:val="20"/>
      <w:lang w:eastAsia="en-US"/>
    </w:rPr>
  </w:style>
  <w:style w:type="paragraph" w:styleId="BodyText">
    <w:name w:val="Body Text"/>
    <w:basedOn w:val="Normal"/>
    <w:link w:val="BodyTextChar"/>
    <w:rsid w:val="00A12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84D"/>
    <w:rPr>
      <w:rFonts w:ascii="Times New Roman" w:eastAsia="Times New Roman" w:hAnsi="Times New Roman" w:cs="Times New Roman"/>
      <w:sz w:val="24"/>
      <w:lang w:eastAsia="en-US"/>
    </w:rPr>
  </w:style>
  <w:style w:type="paragraph" w:styleId="List">
    <w:name w:val="List"/>
    <w:basedOn w:val="BodyText"/>
    <w:next w:val="BodyText"/>
    <w:rsid w:val="00A1284D"/>
    <w:pPr>
      <w:tabs>
        <w:tab w:val="left" w:pos="340"/>
      </w:tabs>
      <w:spacing w:before="60" w:after="60"/>
      <w:ind w:left="340" w:hanging="340"/>
    </w:pPr>
  </w:style>
  <w:style w:type="paragraph" w:styleId="ListBullet">
    <w:name w:val="List Bullet"/>
    <w:basedOn w:val="List"/>
    <w:rsid w:val="00A1284D"/>
    <w:pPr>
      <w:numPr>
        <w:numId w:val="13"/>
      </w:numPr>
      <w:tabs>
        <w:tab w:val="clear" w:pos="340"/>
      </w:tabs>
      <w:spacing w:before="40" w:after="40"/>
    </w:pPr>
  </w:style>
  <w:style w:type="character" w:customStyle="1" w:styleId="SpecialBold">
    <w:name w:val="Special Bold"/>
    <w:basedOn w:val="DefaultParagraphFont"/>
    <w:rsid w:val="00A1284D"/>
    <w:rPr>
      <w:b/>
      <w:spacing w:val="0"/>
    </w:rPr>
  </w:style>
  <w:style w:type="paragraph" w:styleId="ListBullet2">
    <w:name w:val="List Bullet 2"/>
    <w:basedOn w:val="List2"/>
    <w:rsid w:val="00A1284D"/>
    <w:pPr>
      <w:numPr>
        <w:numId w:val="14"/>
      </w:numPr>
      <w:tabs>
        <w:tab w:val="clear" w:pos="680"/>
      </w:tabs>
    </w:pPr>
  </w:style>
  <w:style w:type="character" w:styleId="Emphasis">
    <w:name w:val="Emphasis"/>
    <w:basedOn w:val="DefaultParagraphFont"/>
    <w:qFormat/>
    <w:rsid w:val="00A1284D"/>
    <w:rPr>
      <w:i/>
    </w:rPr>
  </w:style>
  <w:style w:type="paragraph" w:customStyle="1" w:styleId="SuperHeading">
    <w:name w:val="SuperHeading"/>
    <w:basedOn w:val="Normal"/>
    <w:rsid w:val="00A1284D"/>
    <w:pPr>
      <w:spacing w:before="240" w:after="120"/>
      <w:outlineLvl w:val="0"/>
    </w:pPr>
    <w:rPr>
      <w:rFonts w:ascii="Times New Roman" w:hAnsi="Times New Roman"/>
      <w:b/>
      <w:sz w:val="32"/>
    </w:rPr>
  </w:style>
  <w:style w:type="paragraph" w:customStyle="1" w:styleId="AllowPageBreak">
    <w:name w:val="AllowPageBreak"/>
    <w:rsid w:val="00A128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284D"/>
    <w:pPr>
      <w:numPr>
        <w:numId w:val="3"/>
      </w:numPr>
      <w:tabs>
        <w:tab w:val="clear" w:pos="1021"/>
      </w:tabs>
      <w:ind w:left="1037" w:hanging="357"/>
    </w:pPr>
  </w:style>
  <w:style w:type="character" w:customStyle="1" w:styleId="Heading2Char">
    <w:name w:val="Heading 2 Char"/>
    <w:basedOn w:val="DefaultParagraphFont"/>
    <w:link w:val="Heading2"/>
    <w:rsid w:val="00A12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84D"/>
    <w:rPr>
      <w:rFonts w:ascii="Courier New" w:eastAsia="Times New Roman" w:hAnsi="Courier New" w:cs="Times New Roman"/>
      <w:i/>
      <w:szCs w:val="20"/>
      <w:lang w:eastAsia="en-US"/>
    </w:rPr>
  </w:style>
  <w:style w:type="paragraph" w:customStyle="1" w:styleId="HeadingBase">
    <w:name w:val="Heading Base"/>
    <w:rsid w:val="00A12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84D"/>
    <w:pPr>
      <w:tabs>
        <w:tab w:val="right" w:leader="dot" w:pos="9072"/>
      </w:tabs>
      <w:ind w:left="567"/>
    </w:pPr>
    <w:rPr>
      <w:szCs w:val="22"/>
    </w:rPr>
  </w:style>
  <w:style w:type="paragraph" w:customStyle="1" w:styleId="TOCBase">
    <w:name w:val="TOC Base"/>
    <w:rsid w:val="00A12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84D"/>
    <w:pPr>
      <w:tabs>
        <w:tab w:val="right" w:leader="dot" w:pos="9072"/>
      </w:tabs>
      <w:spacing w:before="40" w:after="40"/>
      <w:ind w:left="284"/>
    </w:pPr>
    <w:rPr>
      <w:rFonts w:ascii="Times New Roman" w:hAnsi="Times New Roman"/>
    </w:rPr>
  </w:style>
  <w:style w:type="paragraph" w:styleId="TOC1">
    <w:name w:val="toc 1"/>
    <w:basedOn w:val="TOCBase"/>
    <w:next w:val="Normal"/>
    <w:rsid w:val="00A12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84D"/>
    <w:rPr>
      <w:rFonts w:ascii="Times New Roman" w:eastAsia="Times New Roman" w:hAnsi="Times New Roman" w:cs="Times New Roman"/>
      <w:sz w:val="16"/>
      <w:lang w:eastAsia="en-US"/>
    </w:rPr>
  </w:style>
  <w:style w:type="paragraph" w:styleId="Title">
    <w:name w:val="Title"/>
    <w:basedOn w:val="HeadingBase"/>
    <w:link w:val="TitleChar"/>
    <w:qFormat/>
    <w:rsid w:val="00A1284D"/>
    <w:pPr>
      <w:spacing w:before="5040"/>
      <w:jc w:val="center"/>
    </w:pPr>
    <w:rPr>
      <w:sz w:val="48"/>
      <w:szCs w:val="72"/>
      <w:lang w:val="en-US"/>
    </w:rPr>
  </w:style>
  <w:style w:type="character" w:customStyle="1" w:styleId="TitleChar">
    <w:name w:val="Title Char"/>
    <w:basedOn w:val="DefaultParagraphFont"/>
    <w:link w:val="Title"/>
    <w:rsid w:val="00A12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84D"/>
    <w:pPr>
      <w:tabs>
        <w:tab w:val="left" w:pos="3600"/>
        <w:tab w:val="left" w:pos="3958"/>
      </w:tabs>
    </w:pPr>
  </w:style>
  <w:style w:type="paragraph" w:customStyle="1" w:styleId="Note">
    <w:name w:val="Note"/>
    <w:basedOn w:val="BodyText"/>
    <w:rsid w:val="00A12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84D"/>
    <w:pPr>
      <w:framePr w:wrap="auto" w:hAnchor="text" w:y="6049"/>
    </w:pPr>
    <w:rPr>
      <w:color w:val="000000"/>
      <w:sz w:val="40"/>
    </w:rPr>
  </w:style>
  <w:style w:type="paragraph" w:customStyle="1" w:styleId="TOCTitle">
    <w:name w:val="TOCTitle"/>
    <w:basedOn w:val="Heading1"/>
    <w:rsid w:val="00A1284D"/>
    <w:pPr>
      <w:spacing w:after="240"/>
      <w:jc w:val="center"/>
      <w:outlineLvl w:val="9"/>
    </w:pPr>
    <w:rPr>
      <w:caps/>
    </w:rPr>
  </w:style>
  <w:style w:type="paragraph" w:customStyle="1" w:styleId="Version">
    <w:name w:val="Version"/>
    <w:rsid w:val="00A12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84D"/>
    <w:pPr>
      <w:keepNext w:val="0"/>
      <w:tabs>
        <w:tab w:val="right" w:pos="4176"/>
      </w:tabs>
      <w:ind w:left="198" w:hanging="198"/>
    </w:pPr>
    <w:rPr>
      <w:rFonts w:ascii="Garamond" w:hAnsi="Garamond"/>
    </w:rPr>
  </w:style>
  <w:style w:type="paragraph" w:styleId="IndexHeading">
    <w:name w:val="index heading"/>
    <w:basedOn w:val="Normal"/>
    <w:next w:val="Index1"/>
    <w:semiHidden/>
    <w:rsid w:val="00A1284D"/>
    <w:pPr>
      <w:spacing w:before="120" w:after="120"/>
    </w:pPr>
    <w:rPr>
      <w:rFonts w:ascii="Arial" w:hAnsi="Arial"/>
      <w:b/>
      <w:color w:val="918585"/>
      <w:sz w:val="24"/>
    </w:rPr>
  </w:style>
  <w:style w:type="paragraph" w:styleId="Header">
    <w:name w:val="header"/>
    <w:basedOn w:val="Normal"/>
    <w:link w:val="HeaderChar"/>
    <w:rsid w:val="00A12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84D"/>
    <w:rPr>
      <w:rFonts w:ascii="Times New Roman" w:eastAsia="Times New Roman" w:hAnsi="Times New Roman" w:cs="Times New Roman"/>
      <w:sz w:val="16"/>
      <w:szCs w:val="20"/>
      <w:lang w:val="en-GB" w:eastAsia="en-US"/>
    </w:rPr>
  </w:style>
  <w:style w:type="paragraph" w:customStyle="1" w:styleId="Chapter">
    <w:name w:val="Chapter"/>
    <w:basedOn w:val="Normal"/>
    <w:rsid w:val="00A1284D"/>
    <w:pPr>
      <w:spacing w:before="240"/>
    </w:pPr>
    <w:rPr>
      <w:rFonts w:ascii="Times New Roman" w:hAnsi="Times New Roman"/>
      <w:smallCaps/>
      <w:spacing w:val="80"/>
      <w:sz w:val="28"/>
    </w:rPr>
  </w:style>
  <w:style w:type="paragraph" w:customStyle="1" w:styleId="InChapter">
    <w:name w:val="InChapter"/>
    <w:basedOn w:val="Heading3"/>
    <w:rsid w:val="00A1284D"/>
    <w:pPr>
      <w:spacing w:after="240"/>
      <w:outlineLvl w:val="9"/>
    </w:pPr>
    <w:rPr>
      <w:noProof/>
    </w:rPr>
  </w:style>
  <w:style w:type="paragraph" w:styleId="Index2">
    <w:name w:val="index 2"/>
    <w:basedOn w:val="Normal"/>
    <w:next w:val="Normal"/>
    <w:semiHidden/>
    <w:rsid w:val="00A1284D"/>
    <w:pPr>
      <w:tabs>
        <w:tab w:val="right" w:pos="4176"/>
      </w:tabs>
      <w:ind w:left="568" w:hanging="284"/>
    </w:pPr>
    <w:rPr>
      <w:rFonts w:ascii="Garamond" w:hAnsi="Garamond"/>
    </w:rPr>
  </w:style>
  <w:style w:type="paragraph" w:customStyle="1" w:styleId="Byline">
    <w:name w:val="Byline"/>
    <w:rsid w:val="00A12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84D"/>
    <w:pPr>
      <w:tabs>
        <w:tab w:val="clear" w:pos="3600"/>
        <w:tab w:val="clear" w:pos="3958"/>
      </w:tabs>
      <w:jc w:val="right"/>
    </w:pPr>
  </w:style>
  <w:style w:type="paragraph" w:styleId="Caption">
    <w:name w:val="caption"/>
    <w:basedOn w:val="BodyText"/>
    <w:next w:val="Normal"/>
    <w:qFormat/>
    <w:rsid w:val="00A1284D"/>
    <w:pPr>
      <w:framePr w:w="2268" w:hSpace="181" w:vSpace="181" w:wrap="around" w:vAnchor="text" w:hAnchor="page" w:x="1135" w:y="285" w:anchorLock="1"/>
    </w:pPr>
    <w:rPr>
      <w:i/>
    </w:rPr>
  </w:style>
  <w:style w:type="paragraph" w:customStyle="1" w:styleId="MiniTOCTitle">
    <w:name w:val="MiniTOCTitle"/>
    <w:basedOn w:val="Heading4"/>
    <w:rsid w:val="00A1284D"/>
    <w:pPr>
      <w:spacing w:before="240"/>
      <w:outlineLvl w:val="9"/>
    </w:pPr>
    <w:rPr>
      <w:noProof/>
      <w:sz w:val="24"/>
    </w:rPr>
  </w:style>
  <w:style w:type="paragraph" w:customStyle="1" w:styleId="MiniTOCItem">
    <w:name w:val="MiniTOCItem"/>
    <w:basedOn w:val="ListBullet"/>
    <w:rsid w:val="00A1284D"/>
    <w:pPr>
      <w:numPr>
        <w:numId w:val="0"/>
      </w:numPr>
      <w:tabs>
        <w:tab w:val="right" w:leader="dot" w:pos="6521"/>
      </w:tabs>
      <w:spacing w:before="0" w:after="0"/>
    </w:pPr>
  </w:style>
  <w:style w:type="paragraph" w:customStyle="1" w:styleId="TOFTitle">
    <w:name w:val="TOFTitle"/>
    <w:basedOn w:val="TOCTitle"/>
    <w:rsid w:val="00A1284D"/>
  </w:style>
  <w:style w:type="paragraph" w:styleId="TableofFigures">
    <w:name w:val="table of figures"/>
    <w:basedOn w:val="Normal"/>
    <w:next w:val="Normal"/>
    <w:semiHidden/>
    <w:rsid w:val="00A1284D"/>
    <w:pPr>
      <w:tabs>
        <w:tab w:val="right" w:leader="dot" w:pos="9072"/>
      </w:tabs>
      <w:ind w:left="970" w:hanging="403"/>
    </w:pPr>
    <w:rPr>
      <w:rFonts w:ascii="Times New Roman" w:hAnsi="Times New Roman"/>
      <w:b/>
    </w:rPr>
  </w:style>
  <w:style w:type="paragraph" w:styleId="ListNumber">
    <w:name w:val="List Number"/>
    <w:basedOn w:val="List"/>
    <w:rsid w:val="00A1284D"/>
    <w:pPr>
      <w:numPr>
        <w:numId w:val="16"/>
      </w:numPr>
      <w:tabs>
        <w:tab w:val="clear" w:pos="340"/>
      </w:tabs>
    </w:pPr>
  </w:style>
  <w:style w:type="character" w:customStyle="1" w:styleId="WingdingSymbols">
    <w:name w:val="Wingding Symbols"/>
    <w:rsid w:val="00A1284D"/>
    <w:rPr>
      <w:rFonts w:ascii="Wingdings" w:hAnsi="Wingdings"/>
    </w:rPr>
  </w:style>
  <w:style w:type="paragraph" w:customStyle="1" w:styleId="TableHeading">
    <w:name w:val="Table Heading"/>
    <w:basedOn w:val="HeadingBase"/>
    <w:rsid w:val="00A1284D"/>
    <w:pPr>
      <w:keepLines/>
      <w:pBdr>
        <w:bottom w:val="single" w:sz="6" w:space="1" w:color="918585"/>
      </w:pBdr>
      <w:spacing w:before="240"/>
    </w:pPr>
  </w:style>
  <w:style w:type="character" w:customStyle="1" w:styleId="HotSpot">
    <w:name w:val="HotSpot"/>
    <w:rsid w:val="00A1284D"/>
    <w:rPr>
      <w:color w:val="0033CC"/>
      <w:u w:val="none"/>
    </w:rPr>
  </w:style>
  <w:style w:type="paragraph" w:customStyle="1" w:styleId="BodyTextRight">
    <w:name w:val="Body Text Right"/>
    <w:basedOn w:val="BodyText"/>
    <w:rsid w:val="00A1284D"/>
    <w:pPr>
      <w:spacing w:before="0" w:after="0"/>
      <w:jc w:val="right"/>
    </w:pPr>
  </w:style>
  <w:style w:type="paragraph" w:styleId="Index3">
    <w:name w:val="index 3"/>
    <w:basedOn w:val="ListNumber2"/>
    <w:next w:val="Normal"/>
    <w:semiHidden/>
    <w:rsid w:val="00A1284D"/>
    <w:pPr>
      <w:numPr>
        <w:numId w:val="0"/>
      </w:numPr>
      <w:tabs>
        <w:tab w:val="right" w:leader="dot" w:pos="4176"/>
      </w:tabs>
    </w:pPr>
  </w:style>
  <w:style w:type="paragraph" w:styleId="ListNumber2">
    <w:name w:val="List Number 2"/>
    <w:basedOn w:val="List2"/>
    <w:rsid w:val="00A1284D"/>
    <w:pPr>
      <w:numPr>
        <w:numId w:val="11"/>
      </w:numPr>
      <w:tabs>
        <w:tab w:val="clear" w:pos="1060"/>
      </w:tabs>
    </w:pPr>
  </w:style>
  <w:style w:type="paragraph" w:customStyle="1" w:styleId="MarginNote">
    <w:name w:val="Margin Note"/>
    <w:basedOn w:val="BodyText"/>
    <w:rsid w:val="00A12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84D"/>
    <w:rPr>
      <w:sz w:val="32"/>
    </w:rPr>
  </w:style>
  <w:style w:type="paragraph" w:customStyle="1" w:styleId="HeadingProcedure">
    <w:name w:val="Heading Procedure"/>
    <w:basedOn w:val="HeadingBase"/>
    <w:next w:val="Normal"/>
    <w:rsid w:val="00A1284D"/>
    <w:pPr>
      <w:tabs>
        <w:tab w:val="left" w:pos="0"/>
      </w:tabs>
      <w:spacing w:before="120" w:after="60"/>
    </w:pPr>
    <w:rPr>
      <w:i/>
      <w:color w:val="918585"/>
      <w:sz w:val="22"/>
    </w:rPr>
  </w:style>
  <w:style w:type="paragraph" w:customStyle="1" w:styleId="TableBodyText">
    <w:name w:val="Table Body Text"/>
    <w:basedOn w:val="BodyText"/>
    <w:rsid w:val="00A1284D"/>
    <w:pPr>
      <w:spacing w:before="60" w:after="60"/>
    </w:pPr>
  </w:style>
  <w:style w:type="paragraph" w:styleId="ListContinue">
    <w:name w:val="List Continue"/>
    <w:basedOn w:val="List"/>
    <w:rsid w:val="00A1284D"/>
    <w:pPr>
      <w:ind w:firstLine="0"/>
    </w:pPr>
  </w:style>
  <w:style w:type="paragraph" w:customStyle="1" w:styleId="ListNote">
    <w:name w:val="List Note"/>
    <w:basedOn w:val="List"/>
    <w:rsid w:val="00A1284D"/>
    <w:pPr>
      <w:pBdr>
        <w:top w:val="single" w:sz="6" w:space="2" w:color="918585"/>
        <w:bottom w:val="single" w:sz="6" w:space="2" w:color="918585"/>
      </w:pBdr>
      <w:tabs>
        <w:tab w:val="left" w:pos="1021"/>
      </w:tabs>
      <w:ind w:firstLine="0"/>
    </w:pPr>
  </w:style>
  <w:style w:type="paragraph" w:customStyle="1" w:styleId="Warning">
    <w:name w:val="Warning"/>
    <w:basedOn w:val="BodyText"/>
    <w:rsid w:val="00A1284D"/>
    <w:pPr>
      <w:shd w:val="clear" w:color="auto" w:fill="D9D9D9"/>
      <w:tabs>
        <w:tab w:val="left" w:pos="992"/>
      </w:tabs>
      <w:ind w:left="119" w:right="119"/>
    </w:pPr>
    <w:rPr>
      <w:sz w:val="20"/>
    </w:rPr>
  </w:style>
  <w:style w:type="paragraph" w:customStyle="1" w:styleId="MarginIcons">
    <w:name w:val="Margin Icons"/>
    <w:basedOn w:val="BodyText"/>
    <w:rsid w:val="00A12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84D"/>
    <w:rPr>
      <w:rFonts w:ascii="Courier New" w:hAnsi="Courier New"/>
    </w:rPr>
  </w:style>
  <w:style w:type="paragraph" w:customStyle="1" w:styleId="NoteBullet">
    <w:name w:val="Note Bullet"/>
    <w:basedOn w:val="Note"/>
    <w:rsid w:val="00A1284D"/>
    <w:pPr>
      <w:tabs>
        <w:tab w:val="clear" w:pos="680"/>
      </w:tabs>
      <w:spacing w:before="60" w:after="60"/>
    </w:pPr>
  </w:style>
  <w:style w:type="paragraph" w:customStyle="1" w:styleId="SubHeading2">
    <w:name w:val="SubHeading2"/>
    <w:basedOn w:val="HeadingBase"/>
    <w:rsid w:val="00A1284D"/>
    <w:pPr>
      <w:spacing w:before="240" w:after="60"/>
    </w:pPr>
    <w:rPr>
      <w:sz w:val="20"/>
    </w:rPr>
  </w:style>
  <w:style w:type="paragraph" w:customStyle="1" w:styleId="SubHeading1">
    <w:name w:val="SubHeading1"/>
    <w:basedOn w:val="HeadingBase"/>
    <w:rsid w:val="00A1284D"/>
    <w:pPr>
      <w:spacing w:before="240" w:after="60"/>
    </w:pPr>
    <w:rPr>
      <w:color w:val="918585"/>
      <w:sz w:val="22"/>
    </w:rPr>
  </w:style>
  <w:style w:type="paragraph" w:customStyle="1" w:styleId="SideHeading">
    <w:name w:val="Side Heading"/>
    <w:basedOn w:val="HeadingBase"/>
    <w:rsid w:val="00A12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84D"/>
    <w:pPr>
      <w:numPr>
        <w:numId w:val="12"/>
      </w:numPr>
    </w:pPr>
  </w:style>
  <w:style w:type="paragraph" w:styleId="PlainText">
    <w:name w:val="Plain Text"/>
    <w:basedOn w:val="Normal"/>
    <w:link w:val="PlainTextChar"/>
    <w:rsid w:val="00A1284D"/>
    <w:rPr>
      <w:sz w:val="20"/>
    </w:rPr>
  </w:style>
  <w:style w:type="character" w:customStyle="1" w:styleId="PlainTextChar">
    <w:name w:val="Plain Text Char"/>
    <w:basedOn w:val="DefaultParagraphFont"/>
    <w:link w:val="PlainText"/>
    <w:rsid w:val="00A1284D"/>
    <w:rPr>
      <w:rFonts w:ascii="Courier New" w:eastAsia="Times New Roman" w:hAnsi="Courier New" w:cs="Times New Roman"/>
      <w:sz w:val="20"/>
      <w:szCs w:val="20"/>
      <w:lang w:eastAsia="en-US"/>
    </w:rPr>
  </w:style>
  <w:style w:type="character" w:customStyle="1" w:styleId="MenuOption">
    <w:name w:val="Menu Option"/>
    <w:basedOn w:val="DefaultParagraphFont"/>
    <w:rsid w:val="00A1284D"/>
    <w:rPr>
      <w:b/>
      <w:smallCaps/>
    </w:rPr>
  </w:style>
  <w:style w:type="paragraph" w:customStyle="1" w:styleId="TableListNumber">
    <w:name w:val="Table List Number"/>
    <w:basedOn w:val="ListNumber"/>
    <w:rsid w:val="00A1284D"/>
    <w:pPr>
      <w:numPr>
        <w:numId w:val="0"/>
      </w:numPr>
    </w:pPr>
  </w:style>
  <w:style w:type="paragraph" w:styleId="TOC4">
    <w:name w:val="toc 4"/>
    <w:basedOn w:val="TOCBase"/>
    <w:next w:val="Normal"/>
    <w:semiHidden/>
    <w:rsid w:val="00A1284D"/>
    <w:pPr>
      <w:tabs>
        <w:tab w:val="right" w:leader="dot" w:pos="9071"/>
      </w:tabs>
      <w:ind w:left="1701"/>
    </w:pPr>
  </w:style>
  <w:style w:type="paragraph" w:customStyle="1" w:styleId="ListAlpha">
    <w:name w:val="List Alpha"/>
    <w:basedOn w:val="List"/>
    <w:rsid w:val="00A1284D"/>
    <w:pPr>
      <w:numPr>
        <w:numId w:val="10"/>
      </w:numPr>
    </w:pPr>
  </w:style>
  <w:style w:type="paragraph" w:customStyle="1" w:styleId="ListAlpha2">
    <w:name w:val="List Alpha 2"/>
    <w:basedOn w:val="List2"/>
    <w:rsid w:val="00A1284D"/>
    <w:pPr>
      <w:numPr>
        <w:numId w:val="9"/>
      </w:numPr>
    </w:pPr>
  </w:style>
  <w:style w:type="paragraph" w:styleId="List2">
    <w:name w:val="List 2"/>
    <w:basedOn w:val="BodyText"/>
    <w:rsid w:val="00A1284D"/>
    <w:pPr>
      <w:tabs>
        <w:tab w:val="left" w:pos="680"/>
      </w:tabs>
      <w:spacing w:before="60" w:after="60"/>
      <w:ind w:left="680" w:hanging="340"/>
    </w:pPr>
  </w:style>
  <w:style w:type="paragraph" w:styleId="List3">
    <w:name w:val="List 3"/>
    <w:basedOn w:val="BodyText"/>
    <w:rsid w:val="00A1284D"/>
    <w:pPr>
      <w:tabs>
        <w:tab w:val="left" w:pos="1021"/>
      </w:tabs>
      <w:spacing w:before="60" w:after="60"/>
      <w:ind w:left="1020" w:hanging="340"/>
    </w:pPr>
  </w:style>
  <w:style w:type="paragraph" w:styleId="List4">
    <w:name w:val="List 4"/>
    <w:basedOn w:val="BodyText"/>
    <w:rsid w:val="00A1284D"/>
    <w:pPr>
      <w:tabs>
        <w:tab w:val="left" w:pos="1361"/>
      </w:tabs>
      <w:spacing w:before="60" w:after="60"/>
      <w:ind w:left="1361" w:hanging="340"/>
    </w:pPr>
  </w:style>
  <w:style w:type="paragraph" w:styleId="List5">
    <w:name w:val="List 5"/>
    <w:basedOn w:val="BodyText"/>
    <w:rsid w:val="00A1284D"/>
    <w:pPr>
      <w:tabs>
        <w:tab w:val="left" w:pos="1701"/>
      </w:tabs>
      <w:spacing w:before="60" w:after="60"/>
      <w:ind w:left="1701" w:hanging="340"/>
    </w:pPr>
  </w:style>
  <w:style w:type="paragraph" w:styleId="ListBullet4">
    <w:name w:val="List Bullet 4"/>
    <w:basedOn w:val="List4"/>
    <w:rsid w:val="00A1284D"/>
    <w:pPr>
      <w:numPr>
        <w:numId w:val="4"/>
      </w:numPr>
      <w:tabs>
        <w:tab w:val="clear" w:pos="1361"/>
      </w:tabs>
    </w:pPr>
  </w:style>
  <w:style w:type="paragraph" w:styleId="ListBullet5">
    <w:name w:val="List Bullet 5"/>
    <w:basedOn w:val="List5"/>
    <w:rsid w:val="00A1284D"/>
    <w:pPr>
      <w:numPr>
        <w:numId w:val="5"/>
      </w:numPr>
    </w:pPr>
  </w:style>
  <w:style w:type="paragraph" w:styleId="ListContinue2">
    <w:name w:val="List Continue 2"/>
    <w:basedOn w:val="List2"/>
    <w:rsid w:val="00A1284D"/>
    <w:pPr>
      <w:ind w:firstLine="0"/>
    </w:pPr>
  </w:style>
  <w:style w:type="paragraph" w:styleId="ListContinue3">
    <w:name w:val="List Continue 3"/>
    <w:basedOn w:val="List3"/>
    <w:rsid w:val="00A1284D"/>
    <w:pPr>
      <w:ind w:left="1021" w:firstLine="0"/>
    </w:pPr>
  </w:style>
  <w:style w:type="paragraph" w:styleId="ListContinue4">
    <w:name w:val="List Continue 4"/>
    <w:basedOn w:val="List4"/>
    <w:rsid w:val="00A1284D"/>
    <w:pPr>
      <w:ind w:firstLine="0"/>
    </w:pPr>
  </w:style>
  <w:style w:type="paragraph" w:styleId="ListContinue5">
    <w:name w:val="List Continue 5"/>
    <w:basedOn w:val="List5"/>
    <w:rsid w:val="00A1284D"/>
    <w:pPr>
      <w:ind w:firstLine="0"/>
    </w:pPr>
  </w:style>
  <w:style w:type="paragraph" w:styleId="ListNumber3">
    <w:name w:val="List Number 3"/>
    <w:basedOn w:val="List3"/>
    <w:rsid w:val="00A1284D"/>
    <w:pPr>
      <w:numPr>
        <w:numId w:val="6"/>
      </w:numPr>
    </w:pPr>
  </w:style>
  <w:style w:type="paragraph" w:styleId="ListNumber4">
    <w:name w:val="List Number 4"/>
    <w:basedOn w:val="List4"/>
    <w:rsid w:val="00A1284D"/>
    <w:pPr>
      <w:numPr>
        <w:numId w:val="7"/>
      </w:numPr>
    </w:pPr>
  </w:style>
  <w:style w:type="paragraph" w:styleId="ListNumber5">
    <w:name w:val="List Number 5"/>
    <w:basedOn w:val="List5"/>
    <w:rsid w:val="00A1284D"/>
    <w:pPr>
      <w:numPr>
        <w:numId w:val="8"/>
      </w:numPr>
    </w:pPr>
  </w:style>
  <w:style w:type="paragraph" w:styleId="BlockText">
    <w:name w:val="Block Text"/>
    <w:basedOn w:val="Normal"/>
    <w:rsid w:val="00A1284D"/>
    <w:pPr>
      <w:spacing w:after="120"/>
      <w:ind w:left="1440" w:right="1440"/>
    </w:pPr>
  </w:style>
  <w:style w:type="character" w:customStyle="1" w:styleId="Subscript">
    <w:name w:val="Subscript"/>
    <w:basedOn w:val="DefaultParagraphFont"/>
    <w:rsid w:val="00A1284D"/>
    <w:rPr>
      <w:sz w:val="16"/>
      <w:vertAlign w:val="subscript"/>
    </w:rPr>
  </w:style>
  <w:style w:type="character" w:customStyle="1" w:styleId="Superscript">
    <w:name w:val="Superscript"/>
    <w:basedOn w:val="DefaultParagraphFont"/>
    <w:rsid w:val="00A1284D"/>
    <w:rPr>
      <w:sz w:val="16"/>
      <w:vertAlign w:val="superscript"/>
    </w:rPr>
  </w:style>
  <w:style w:type="character" w:customStyle="1" w:styleId="Symbols">
    <w:name w:val="Symbols"/>
    <w:basedOn w:val="DefaultParagraphFont"/>
    <w:rsid w:val="00A1284D"/>
    <w:rPr>
      <w:rFonts w:ascii="Symbol" w:hAnsi="Symbol"/>
    </w:rPr>
  </w:style>
  <w:style w:type="character" w:customStyle="1" w:styleId="MenuOptions">
    <w:name w:val="Menu Options"/>
    <w:basedOn w:val="DefaultParagraphFont"/>
    <w:rsid w:val="00A1284D"/>
    <w:rPr>
      <w:rFonts w:ascii="Arial Narrow" w:hAnsi="Arial Narrow"/>
      <w:smallCaps/>
    </w:rPr>
  </w:style>
  <w:style w:type="character" w:customStyle="1" w:styleId="Buttons">
    <w:name w:val="Buttons"/>
    <w:basedOn w:val="DefaultParagraphFont"/>
    <w:rsid w:val="00A1284D"/>
    <w:rPr>
      <w:b/>
    </w:rPr>
  </w:style>
  <w:style w:type="character" w:customStyle="1" w:styleId="Underlined">
    <w:name w:val="Underlined"/>
    <w:basedOn w:val="DefaultParagraphFont"/>
    <w:rsid w:val="00A1284D"/>
    <w:rPr>
      <w:u w:val="single"/>
    </w:rPr>
  </w:style>
  <w:style w:type="paragraph" w:customStyle="1" w:styleId="TableBodyTextRight">
    <w:name w:val="Table Body Text Right"/>
    <w:basedOn w:val="TableBodyText"/>
    <w:rsid w:val="00A1284D"/>
    <w:pPr>
      <w:widowControl w:val="0"/>
      <w:autoSpaceDE w:val="0"/>
      <w:autoSpaceDN w:val="0"/>
      <w:adjustRightInd w:val="0"/>
      <w:jc w:val="right"/>
    </w:pPr>
    <w:rPr>
      <w:rFonts w:cs="Arial"/>
      <w:szCs w:val="18"/>
    </w:rPr>
  </w:style>
  <w:style w:type="paragraph" w:customStyle="1" w:styleId="CopyrightText">
    <w:name w:val="Copyright Text"/>
    <w:basedOn w:val="BodyText"/>
    <w:rsid w:val="00A1284D"/>
    <w:rPr>
      <w:sz w:val="18"/>
    </w:rPr>
  </w:style>
  <w:style w:type="paragraph" w:customStyle="1" w:styleId="BodySmallRight">
    <w:name w:val="Body Small Right"/>
    <w:basedOn w:val="BodyTextRight"/>
    <w:rsid w:val="00A1284D"/>
    <w:rPr>
      <w:sz w:val="18"/>
      <w:szCs w:val="18"/>
    </w:rPr>
  </w:style>
  <w:style w:type="paragraph" w:customStyle="1" w:styleId="MarginEdition">
    <w:name w:val="Margin Edition"/>
    <w:basedOn w:val="MarginNote"/>
    <w:rsid w:val="00A1284D"/>
    <w:pPr>
      <w:spacing w:before="0" w:after="0"/>
    </w:pPr>
    <w:rPr>
      <w:rFonts w:ascii="Times New Roman" w:hAnsi="Times New Roman"/>
      <w:color w:val="999999"/>
    </w:rPr>
  </w:style>
  <w:style w:type="paragraph" w:customStyle="1" w:styleId="Spacer">
    <w:name w:val="Spacer"/>
    <w:basedOn w:val="Normal"/>
    <w:rsid w:val="00A1284D"/>
    <w:rPr>
      <w:sz w:val="2"/>
      <w:szCs w:val="2"/>
    </w:rPr>
  </w:style>
  <w:style w:type="character" w:customStyle="1" w:styleId="Small">
    <w:name w:val="Small"/>
    <w:basedOn w:val="DefaultParagraphFont"/>
    <w:rsid w:val="00A1284D"/>
    <w:rPr>
      <w:sz w:val="16"/>
    </w:rPr>
  </w:style>
  <w:style w:type="paragraph" w:customStyle="1" w:styleId="WideTable">
    <w:name w:val="Wide Table"/>
    <w:basedOn w:val="Normal"/>
    <w:rsid w:val="00A1284D"/>
    <w:pPr>
      <w:ind w:left="-1418"/>
    </w:pPr>
    <w:rPr>
      <w:sz w:val="2"/>
      <w:szCs w:val="2"/>
    </w:rPr>
  </w:style>
  <w:style w:type="character" w:styleId="PageNumber">
    <w:name w:val="page number"/>
    <w:basedOn w:val="DefaultParagraphFont"/>
    <w:rsid w:val="00A1284D"/>
  </w:style>
  <w:style w:type="paragraph" w:styleId="Quote">
    <w:name w:val="Quote"/>
    <w:basedOn w:val="Heading1"/>
    <w:link w:val="QuoteChar"/>
    <w:qFormat/>
    <w:rsid w:val="00A1284D"/>
    <w:rPr>
      <w:b w:val="0"/>
      <w:sz w:val="72"/>
      <w:szCs w:val="72"/>
      <w:lang w:val="en-NZ"/>
    </w:rPr>
  </w:style>
  <w:style w:type="character" w:customStyle="1" w:styleId="QuoteChar">
    <w:name w:val="Quote Char"/>
    <w:basedOn w:val="DefaultParagraphFont"/>
    <w:link w:val="Quote"/>
    <w:rsid w:val="00A12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84D"/>
    <w:pPr>
      <w:pageBreakBefore/>
    </w:pPr>
  </w:style>
  <w:style w:type="paragraph" w:customStyle="1" w:styleId="Border">
    <w:name w:val="Border"/>
    <w:basedOn w:val="Normal"/>
    <w:qFormat/>
    <w:rsid w:val="00A12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84D"/>
    <w:rPr>
      <w:b/>
      <w:bCs/>
      <w:i/>
      <w:iCs/>
      <w:color w:val="auto"/>
    </w:rPr>
  </w:style>
  <w:style w:type="paragraph" w:styleId="IntenseQuote">
    <w:name w:val="Intense Quote"/>
    <w:basedOn w:val="Normal"/>
    <w:next w:val="Normal"/>
    <w:link w:val="IntenseQuoteChar"/>
    <w:uiPriority w:val="30"/>
    <w:qFormat/>
    <w:rsid w:val="00A12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84D"/>
    <w:rPr>
      <w:smallCaps/>
      <w:color w:val="auto"/>
      <w:u w:val="single"/>
    </w:rPr>
  </w:style>
  <w:style w:type="character" w:styleId="IntenseReference">
    <w:name w:val="Intense Reference"/>
    <w:basedOn w:val="DefaultParagraphFont"/>
    <w:uiPriority w:val="32"/>
    <w:qFormat/>
    <w:rsid w:val="00A1284D"/>
    <w:rPr>
      <w:b/>
      <w:bCs/>
      <w:smallCaps/>
      <w:color w:val="auto"/>
      <w:spacing w:val="5"/>
      <w:u w:val="single"/>
    </w:rPr>
  </w:style>
  <w:style w:type="paragraph" w:customStyle="1" w:styleId="2ColumnHeading">
    <w:name w:val="2Column Heading"/>
    <w:basedOn w:val="BodyText"/>
    <w:qFormat/>
    <w:rsid w:val="00A1284D"/>
    <w:pPr>
      <w:spacing w:after="60"/>
      <w:ind w:left="-2268"/>
    </w:pPr>
    <w:rPr>
      <w:b/>
    </w:rPr>
  </w:style>
  <w:style w:type="paragraph" w:customStyle="1" w:styleId="Heading1TOC">
    <w:name w:val="Heading1 TOC"/>
    <w:basedOn w:val="Normal"/>
    <w:qFormat/>
    <w:rsid w:val="00A1284D"/>
    <w:pPr>
      <w:spacing w:before="240" w:after="120"/>
    </w:pPr>
    <w:rPr>
      <w:rFonts w:ascii="Times New Roman" w:hAnsi="Times New Roman"/>
      <w:b/>
      <w:sz w:val="32"/>
    </w:rPr>
  </w:style>
  <w:style w:type="paragraph" w:customStyle="1" w:styleId="Heading2TOC">
    <w:name w:val="Heading2 TOC"/>
    <w:basedOn w:val="Normal"/>
    <w:qFormat/>
    <w:rsid w:val="00A1284D"/>
    <w:pPr>
      <w:spacing w:before="240" w:after="60"/>
    </w:pPr>
    <w:rPr>
      <w:rFonts w:ascii="Times New Roman" w:hAnsi="Times New Roman"/>
      <w:b/>
      <w:sz w:val="28"/>
    </w:rPr>
  </w:style>
  <w:style w:type="character" w:customStyle="1" w:styleId="Underline">
    <w:name w:val="Underline"/>
    <w:basedOn w:val="DefaultParagraphFont"/>
    <w:qFormat/>
    <w:rsid w:val="00A1284D"/>
    <w:rPr>
      <w:u w:val="single"/>
    </w:rPr>
  </w:style>
  <w:style w:type="character" w:customStyle="1" w:styleId="BoldandItalics">
    <w:name w:val="Bold and Italics"/>
    <w:qFormat/>
    <w:rsid w:val="00A1284D"/>
    <w:rPr>
      <w:b/>
      <w:i/>
      <w:u w:val="none"/>
    </w:rPr>
  </w:style>
  <w:style w:type="paragraph" w:styleId="BalloonText">
    <w:name w:val="Balloon Text"/>
    <w:basedOn w:val="Normal"/>
    <w:link w:val="BalloonTextChar"/>
    <w:rsid w:val="00A1284D"/>
    <w:rPr>
      <w:rFonts w:ascii="Tahoma" w:hAnsi="Tahoma" w:cs="Tahoma"/>
      <w:sz w:val="16"/>
      <w:szCs w:val="16"/>
    </w:rPr>
  </w:style>
  <w:style w:type="character" w:customStyle="1" w:styleId="BalloonTextChar">
    <w:name w:val="Balloon Text Char"/>
    <w:basedOn w:val="DefaultParagraphFont"/>
    <w:link w:val="BalloonText"/>
    <w:rsid w:val="00A12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84D"/>
    <w:rPr>
      <w:b/>
      <w:color w:val="660033"/>
      <w:spacing w:val="0"/>
    </w:rPr>
  </w:style>
  <w:style w:type="paragraph" w:customStyle="1" w:styleId="Nameditemlist">
    <w:name w:val="Named item list"/>
    <w:basedOn w:val="BodyText"/>
    <w:qFormat/>
    <w:rsid w:val="00A1284D"/>
    <w:pPr>
      <w:tabs>
        <w:tab w:val="left" w:pos="2835"/>
      </w:tabs>
      <w:ind w:left="2835" w:hanging="2835"/>
    </w:pPr>
  </w:style>
  <w:style w:type="paragraph" w:customStyle="1" w:styleId="BodyTextnopadding">
    <w:name w:val="Body Text no padding"/>
    <w:basedOn w:val="BodyText"/>
    <w:qFormat/>
    <w:rsid w:val="00A1284D"/>
    <w:pPr>
      <w:spacing w:before="0" w:after="0"/>
    </w:pPr>
  </w:style>
  <w:style w:type="paragraph" w:customStyle="1" w:styleId="BodyTextBold">
    <w:name w:val="Body Text Bold"/>
    <w:basedOn w:val="BodyText"/>
    <w:qFormat/>
    <w:rsid w:val="00A1284D"/>
    <w:rPr>
      <w:b/>
    </w:rPr>
  </w:style>
  <w:style w:type="character" w:styleId="Hyperlink">
    <w:name w:val="Hyperlink"/>
    <w:basedOn w:val="DefaultParagraphFont"/>
    <w:uiPriority w:val="99"/>
    <w:unhideWhenUsed/>
    <w:rsid w:val="00637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6701</Characters>
  <Application>Microsoft Office Word</Application>
  <DocSecurity>0</DocSecurity>
  <Lines>197</Lines>
  <Paragraphs>118</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HLTPHA027 Apply knowledge of malignant diseases and immunosuppressive disorders to dispense medication</dc:title>
  <dc:subject>Approved</dc:subject>
  <dc:creator>HumanAbility</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