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7CB" w:rsidP="002C6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HLTPHA027 Apply knowledge of malignant diseases and immunosuppressive disorders to dispense medication</w:t>
      </w:r>
      <w:r>
        <w:fldChar w:fldCharType="end"/>
      </w:r>
    </w:p>
    <w:p w:rsidR="002C67CB" w:rsidP="002C67CB">
      <w:pPr>
        <w:pStyle w:val="Version"/>
        <w:sectPr w:rsidSect="008E6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1EA" w:rsidP="008E61EA">
      <w:pPr>
        <w:pStyle w:val="SuperHeading"/>
      </w:pPr>
      <w:r w:rsidRPr="008E61EA">
        <w:t>Assessment Requirements for HLTPHA027 Apply knowledge of malignant diseases and immunosuppressive disorders to dispense medication</w:t>
      </w:r>
    </w:p>
    <w:p w:rsidR="00000000" w:rsidRPr="008E61EA" w:rsidP="008E61EA">
      <w:pPr>
        <w:pStyle w:val="Heading1"/>
      </w:pPr>
      <w:bookmarkStart w:id="1" w:name="O_1225620"/>
      <w:bookmarkEnd w:id="1"/>
      <w:r w:rsidRPr="008E61EA">
        <w:t>Modification History</w:t>
      </w:r>
    </w:p>
    <w:p w:rsidR="00000000" w:rsidRPr="008E61EA" w:rsidP="002C67CB">
      <w:pPr>
        <w:pStyle w:val="BodyText"/>
      </w:pPr>
      <w:r w:rsidRPr="008E61EA">
        <w:t>Not applicable.</w:t>
      </w:r>
    </w:p>
    <w:p w:rsidR="00000000" w:rsidRPr="008E61EA" w:rsidP="008E61EA">
      <w:pPr>
        <w:pStyle w:val="Heading1"/>
      </w:pPr>
      <w:bookmarkStart w:id="2" w:name="O_1225621"/>
      <w:bookmarkEnd w:id="2"/>
      <w:r w:rsidRPr="008E61EA">
        <w:t>Performance Evidence</w:t>
      </w:r>
    </w:p>
    <w:p w:rsidR="00000000" w:rsidRPr="008E61EA" w:rsidP="002C67CB">
      <w:pPr>
        <w:pStyle w:val="BodyText"/>
      </w:pPr>
      <w:r w:rsidRPr="008E61EA">
        <w:t>Evidence of the ability to complete tasks outlined in elements and performance criteria of this unit in the context of the job role, and:</w:t>
      </w:r>
    </w:p>
    <w:p w:rsidR="00000000" w:rsidRPr="008E61EA" w:rsidP="008E61EA">
      <w:pPr>
        <w:pStyle w:val="ListBullet"/>
      </w:pPr>
      <w:r w:rsidRPr="008E61EA">
        <w:t>prepare and dispense Immunosuppressive medication on at least 10 occasions, including:</w:t>
      </w:r>
    </w:p>
    <w:p w:rsidR="00000000" w:rsidRPr="008E61EA" w:rsidP="008E61EA">
      <w:pPr>
        <w:pStyle w:val="ListBullet2"/>
      </w:pPr>
      <w:r w:rsidRPr="008E61EA">
        <w:t xml:space="preserve">demonstrating the ability to </w:t>
      </w:r>
      <w:r w:rsidRPr="008E61EA">
        <w:t>source information</w:t>
      </w:r>
    </w:p>
    <w:p w:rsidR="00000000" w:rsidRPr="008E61EA" w:rsidP="008E61EA">
      <w:pPr>
        <w:pStyle w:val="ListBullet2"/>
      </w:pPr>
      <w:r w:rsidRPr="008E61EA">
        <w:t>confirming medication dispensing with an authorised person</w:t>
      </w:r>
    </w:p>
    <w:p w:rsidR="00000000" w:rsidRPr="008E61EA" w:rsidP="008E61EA">
      <w:pPr>
        <w:pStyle w:val="ListBullet"/>
      </w:pPr>
      <w:r w:rsidRPr="008E61EA">
        <w:t>provide a continuing medication education session focusing on the pharmaceutical aspects, that includes:</w:t>
      </w:r>
    </w:p>
    <w:p w:rsidR="00000000" w:rsidRPr="008E61EA" w:rsidP="008E61EA">
      <w:pPr>
        <w:pStyle w:val="ListBullet2"/>
      </w:pPr>
      <w:r w:rsidRPr="008E61EA">
        <w:t>at least two malignant diseases, focussing on the appropriate supportiv</w:t>
      </w:r>
      <w:r w:rsidRPr="008E61EA">
        <w:t>e care treatments and the reasons for their use</w:t>
      </w:r>
    </w:p>
    <w:p w:rsidR="00000000" w:rsidRPr="008E61EA" w:rsidP="008E61EA">
      <w:pPr>
        <w:pStyle w:val="ListBullet2"/>
      </w:pPr>
      <w:r w:rsidRPr="008E61EA">
        <w:t>at least one condition that requires immunosuppressive medication</w:t>
      </w:r>
    </w:p>
    <w:p w:rsidR="00000000" w:rsidRPr="008E61EA" w:rsidP="008E61EA">
      <w:pPr>
        <w:pStyle w:val="ListBullet2"/>
      </w:pPr>
      <w:r w:rsidRPr="008E61EA">
        <w:t>session delivery methods, including:</w:t>
      </w:r>
    </w:p>
    <w:p w:rsidR="00000000" w:rsidRPr="008E61EA" w:rsidP="008E61EA">
      <w:pPr>
        <w:pStyle w:val="ListBullet3"/>
      </w:pPr>
      <w:r w:rsidRPr="008E61EA">
        <w:t>digital presentation</w:t>
      </w:r>
    </w:p>
    <w:p w:rsidR="00000000" w:rsidRPr="008E61EA" w:rsidP="008E61EA">
      <w:pPr>
        <w:pStyle w:val="ListBullet3"/>
      </w:pPr>
      <w:r w:rsidRPr="008E61EA">
        <w:t>demonstration</w:t>
      </w:r>
    </w:p>
    <w:p w:rsidR="00000000" w:rsidRPr="008E61EA" w:rsidP="008E61EA">
      <w:pPr>
        <w:pStyle w:val="ListBullet3"/>
      </w:pPr>
      <w:r w:rsidRPr="008E61EA">
        <w:t>referral to findings</w:t>
      </w:r>
    </w:p>
    <w:p w:rsidR="00000000" w:rsidRPr="008E61EA" w:rsidP="008E61EA">
      <w:pPr>
        <w:pStyle w:val="ListBullet3"/>
      </w:pPr>
      <w:r w:rsidRPr="008E61EA">
        <w:t>activities and questions</w:t>
      </w:r>
    </w:p>
    <w:p w:rsidR="00000000" w:rsidRPr="008E61EA" w:rsidP="008E61EA">
      <w:pPr>
        <w:pStyle w:val="ListBullet"/>
      </w:pPr>
      <w:r w:rsidRPr="008E61EA">
        <w:t>perform the activities outlined in the performance criteria of this unit during a period of 240 hours of work related to hospital pharmacy support in a clinical workplace environment. These 240 hours may be applied collectively across all units of competen</w:t>
      </w:r>
      <w:r w:rsidRPr="008E61EA">
        <w:t>cy that include the requirement for workplace hours for the purposes of assessment.</w:t>
      </w:r>
    </w:p>
    <w:p w:rsidR="00000000" w:rsidRPr="008E61EA" w:rsidP="008E61EA">
      <w:pPr>
        <w:pStyle w:val="AllowPageBreak"/>
      </w:pPr>
    </w:p>
    <w:p w:rsidR="00000000" w:rsidRPr="008E61EA" w:rsidP="008E61EA">
      <w:pPr>
        <w:pStyle w:val="Heading1"/>
      </w:pPr>
      <w:bookmarkStart w:id="3" w:name="O_1225622"/>
      <w:bookmarkEnd w:id="3"/>
      <w:r w:rsidRPr="008E61EA">
        <w:t>Knowledge Evidence</w:t>
      </w:r>
    </w:p>
    <w:p w:rsidR="00000000" w:rsidRPr="008E61EA" w:rsidP="002C67CB">
      <w:pPr>
        <w:pStyle w:val="BodyText"/>
      </w:pPr>
      <w:r w:rsidRPr="008E61EA">
        <w:t>Demonstrated knowledge required to complete the tasks outlined in elements and performance criteria of this unit:</w:t>
      </w:r>
    </w:p>
    <w:p w:rsidR="00000000" w:rsidRPr="008E61EA" w:rsidP="008E61EA">
      <w:pPr>
        <w:pStyle w:val="ListBullet"/>
      </w:pPr>
      <w:r w:rsidRPr="008E61EA">
        <w:t>understand informat</w:t>
      </w:r>
      <w:r w:rsidRPr="008E61EA">
        <w:t>ion on malignant diseases and immunosuppressive disorders including:</w:t>
      </w:r>
    </w:p>
    <w:p w:rsidR="00000000" w:rsidRPr="008E61EA" w:rsidP="008E61EA">
      <w:pPr>
        <w:pStyle w:val="ListBullet2"/>
      </w:pPr>
      <w:r w:rsidRPr="008E61EA">
        <w:t>malignant diseases and immune related disorders that require immunosuppressive medication and determine appropriate treatments and reasons for their use</w:t>
      </w:r>
    </w:p>
    <w:p w:rsidR="00000000" w:rsidRPr="008E61EA" w:rsidP="008E61EA">
      <w:pPr>
        <w:pStyle w:val="ListBullet2"/>
      </w:pPr>
      <w:r w:rsidRPr="008E61EA">
        <w:t>medication used for each treatment and the supportive care medications required</w:t>
      </w:r>
    </w:p>
    <w:p w:rsidR="00000000" w:rsidRPr="008E61EA" w:rsidP="008E61EA">
      <w:pPr>
        <w:pStyle w:val="ListBullet2"/>
      </w:pPr>
      <w:r w:rsidRPr="008E61EA">
        <w:t>side effects of the medication</w:t>
      </w:r>
    </w:p>
    <w:p w:rsidR="00000000" w:rsidRPr="008E61EA" w:rsidP="008E61EA">
      <w:pPr>
        <w:pStyle w:val="ListBullet2"/>
      </w:pPr>
      <w:r w:rsidRPr="008E61EA">
        <w:t>adverse reactions to medication that require referral to an authorised person</w:t>
      </w:r>
    </w:p>
    <w:p w:rsidR="00000000" w:rsidRPr="008E61EA" w:rsidP="008E61EA">
      <w:pPr>
        <w:pStyle w:val="ListBullet2"/>
      </w:pPr>
      <w:r w:rsidRPr="008E61EA">
        <w:t>relevant information for review by an authorised person</w:t>
      </w:r>
    </w:p>
    <w:p w:rsidR="00000000" w:rsidRPr="008E61EA" w:rsidP="008E61EA">
      <w:pPr>
        <w:pStyle w:val="ListBullet"/>
      </w:pPr>
      <w:r w:rsidRPr="008E61EA">
        <w:t>standard p</w:t>
      </w:r>
      <w:r w:rsidRPr="008E61EA">
        <w:t>harmaceutical references, including:</w:t>
      </w:r>
    </w:p>
    <w:p w:rsidR="00000000" w:rsidRPr="008E61EA" w:rsidP="008E61EA">
      <w:pPr>
        <w:pStyle w:val="ListBullet2"/>
      </w:pPr>
      <w:r w:rsidRPr="008E61EA">
        <w:t>Australian Medicines Handbook (AMH)</w:t>
      </w:r>
    </w:p>
    <w:p w:rsidR="00000000" w:rsidRPr="008E61EA" w:rsidP="008E61EA">
      <w:pPr>
        <w:pStyle w:val="ListBullet2"/>
      </w:pPr>
      <w:r w:rsidRPr="008E61EA">
        <w:t>Australian Pharmaceutical Formulary Handbook (APF)</w:t>
      </w:r>
    </w:p>
    <w:p w:rsidR="00000000" w:rsidRPr="008E61EA" w:rsidP="008E61EA">
      <w:pPr>
        <w:pStyle w:val="ListBullet2"/>
      </w:pPr>
      <w:r w:rsidRPr="008E61EA">
        <w:t>Monthly Index of Medical Specialities (MIMS) or AusDI Advanced</w:t>
      </w:r>
    </w:p>
    <w:p w:rsidR="00000000" w:rsidRPr="008E61EA" w:rsidP="008E61EA">
      <w:pPr>
        <w:pStyle w:val="ListBullet2"/>
      </w:pPr>
      <w:r w:rsidRPr="008E61EA">
        <w:t>Micromedex</w:t>
      </w:r>
    </w:p>
    <w:p w:rsidR="00000000" w:rsidRPr="008E61EA" w:rsidP="008E61EA">
      <w:pPr>
        <w:pStyle w:val="ListBullet"/>
      </w:pPr>
      <w:r w:rsidRPr="008E61EA">
        <w:t>relevant National, State or Territory regulatory and leg</w:t>
      </w:r>
      <w:r w:rsidRPr="008E61EA">
        <w:t>islative requirements</w:t>
      </w:r>
    </w:p>
    <w:p w:rsidR="00000000" w:rsidRPr="008E61EA" w:rsidP="008E61EA">
      <w:pPr>
        <w:pStyle w:val="ListBullet"/>
      </w:pPr>
      <w:r w:rsidRPr="008E61EA">
        <w:t>the legal responsibilities of providers of health care in relation to confidentiality, patient rights, duty of care and implications of negligence</w:t>
      </w:r>
    </w:p>
    <w:p w:rsidR="00000000" w:rsidRPr="008E61EA" w:rsidP="008E61EA">
      <w:pPr>
        <w:pStyle w:val="ListBullet"/>
      </w:pPr>
      <w:r w:rsidRPr="008E61EA">
        <w:t>limitations of own work role including identification and referring of issues outside s</w:t>
      </w:r>
      <w:r w:rsidRPr="008E61EA">
        <w:t>cope of own practice to the authorised person</w:t>
      </w:r>
    </w:p>
    <w:p w:rsidR="00000000" w:rsidRPr="008E61EA" w:rsidP="008E61EA">
      <w:pPr>
        <w:pStyle w:val="ListBullet"/>
      </w:pPr>
      <w:r w:rsidRPr="008E61EA">
        <w:t>Work Health and Safety (WHS) policies, guidelines and symbols and their relevance to dispensing medication</w:t>
      </w:r>
    </w:p>
    <w:p w:rsidR="00000000" w:rsidRPr="008E61EA" w:rsidP="008E61EA">
      <w:pPr>
        <w:pStyle w:val="ListBullet"/>
      </w:pPr>
      <w:r w:rsidRPr="008E61EA">
        <w:t>common malignant diseases:</w:t>
      </w:r>
    </w:p>
    <w:p w:rsidR="00000000" w:rsidRPr="008E61EA" w:rsidP="008E61EA">
      <w:pPr>
        <w:pStyle w:val="ListBullet2"/>
      </w:pPr>
      <w:r w:rsidRPr="008E61EA">
        <w:t>carcinoma</w:t>
      </w:r>
    </w:p>
    <w:p w:rsidR="00000000" w:rsidRPr="008E61EA" w:rsidP="008E61EA">
      <w:pPr>
        <w:pStyle w:val="ListBullet2"/>
      </w:pPr>
      <w:r w:rsidRPr="008E61EA">
        <w:t>leukaemia</w:t>
      </w:r>
    </w:p>
    <w:p w:rsidR="00000000" w:rsidRPr="008E61EA" w:rsidP="008E61EA">
      <w:pPr>
        <w:pStyle w:val="ListBullet2"/>
      </w:pPr>
      <w:r w:rsidRPr="008E61EA">
        <w:t>lymphoma</w:t>
      </w:r>
    </w:p>
    <w:p w:rsidR="00000000" w:rsidRPr="008E61EA" w:rsidP="008E61EA">
      <w:pPr>
        <w:pStyle w:val="ListBullet2"/>
      </w:pPr>
      <w:r w:rsidRPr="008E61EA">
        <w:t>melanomas</w:t>
      </w:r>
    </w:p>
    <w:p w:rsidR="00000000" w:rsidRPr="008E61EA" w:rsidP="008E61EA">
      <w:pPr>
        <w:pStyle w:val="ListBullet"/>
      </w:pPr>
      <w:r w:rsidRPr="008E61EA">
        <w:t>basic d</w:t>
      </w:r>
      <w:r w:rsidRPr="008E61EA">
        <w:t>ifference between healthy and malignant cells:</w:t>
      </w:r>
    </w:p>
    <w:p w:rsidR="00000000" w:rsidRPr="008E61EA" w:rsidP="008E61EA">
      <w:pPr>
        <w:pStyle w:val="ListBullet2"/>
      </w:pPr>
      <w:r w:rsidRPr="008E61EA">
        <w:t>growth in contrast to normal cells, cancer cells do not stop growing and dividing that results in the formation of a tumour</w:t>
      </w:r>
    </w:p>
    <w:p w:rsidR="00000000" w:rsidRPr="008E61EA" w:rsidP="008E61EA">
      <w:pPr>
        <w:pStyle w:val="ListBullet2"/>
      </w:pPr>
      <w:r w:rsidRPr="008E61EA">
        <w:t>communication including cancer cells do not interact with other cells as normal cell</w:t>
      </w:r>
      <w:r w:rsidRPr="008E61EA">
        <w:t>s do</w:t>
      </w:r>
    </w:p>
    <w:p w:rsidR="00000000" w:rsidRPr="008E61EA" w:rsidP="008E61EA">
      <w:pPr>
        <w:pStyle w:val="ListBullet2"/>
      </w:pPr>
      <w:r w:rsidRPr="008E61EA">
        <w:t>cell repair and cell death including normal cells are either repaired or undergo apoptosis when they are damaged or get old, whereas cancer cells don</w:t>
      </w:r>
      <w:r>
        <w:t>’</w:t>
      </w:r>
      <w:r w:rsidRPr="008E61EA">
        <w:t>t undergo apoptosis</w:t>
      </w:r>
    </w:p>
    <w:p w:rsidR="00000000" w:rsidRPr="008E61EA" w:rsidP="008E61EA">
      <w:pPr>
        <w:pStyle w:val="ListBullet"/>
      </w:pPr>
      <w:r w:rsidRPr="008E61EA">
        <w:t>the role of common supportive care medications for oncology patients and non-pha</w:t>
      </w:r>
      <w:r w:rsidRPr="008E61EA">
        <w:t>rmacology methods to improve quality of life</w:t>
      </w:r>
    </w:p>
    <w:p w:rsidR="00000000" w:rsidRPr="008E61EA" w:rsidP="008E61EA">
      <w:pPr>
        <w:pStyle w:val="ListBullet"/>
      </w:pPr>
      <w:r w:rsidRPr="008E61EA">
        <w:t>presentation methods for continuing education.</w:t>
      </w:r>
    </w:p>
    <w:p w:rsidR="00000000" w:rsidRPr="008E61EA" w:rsidP="008E61EA">
      <w:pPr>
        <w:pStyle w:val="AllowPageBreak"/>
      </w:pPr>
    </w:p>
    <w:p w:rsidR="00000000" w:rsidRPr="008E61EA" w:rsidP="008E61EA">
      <w:pPr>
        <w:pStyle w:val="Heading1"/>
      </w:pPr>
      <w:bookmarkStart w:id="4" w:name="O_1225623"/>
      <w:bookmarkEnd w:id="4"/>
      <w:r w:rsidRPr="008E61EA">
        <w:t>Assessment Conditions</w:t>
      </w:r>
    </w:p>
    <w:p w:rsidR="00000000" w:rsidRPr="008E61EA" w:rsidP="002C67CB">
      <w:pPr>
        <w:pStyle w:val="BodyText"/>
      </w:pPr>
      <w:r w:rsidRPr="008E61EA">
        <w:t>Skills must be demonstrated in the workplace with the addition of simulations and scenarios where the full range of context</w:t>
      </w:r>
      <w:r w:rsidRPr="008E61EA">
        <w:t>s and situations have not been provided in the workplace.</w:t>
      </w:r>
    </w:p>
    <w:p w:rsidR="00000000" w:rsidRPr="008E61EA" w:rsidP="002C67CB">
      <w:pPr>
        <w:pStyle w:val="BodyText"/>
      </w:pPr>
      <w:r w:rsidRPr="008E61EA">
        <w:t>Assessment must ensure access to:</w:t>
      </w:r>
    </w:p>
    <w:p w:rsidR="00000000" w:rsidRPr="008E61EA" w:rsidP="008E61EA">
      <w:pPr>
        <w:pStyle w:val="ListBullet"/>
      </w:pPr>
      <w:r w:rsidRPr="008E61EA">
        <w:t>use of suitable facilities, equipment and resources, including:</w:t>
      </w:r>
    </w:p>
    <w:p w:rsidR="00000000" w:rsidRPr="008E61EA" w:rsidP="008E61EA">
      <w:pPr>
        <w:pStyle w:val="ListBullet2"/>
      </w:pPr>
      <w:r w:rsidRPr="008E61EA">
        <w:t>relevant legislation, regulations and guidelines</w:t>
      </w:r>
    </w:p>
    <w:p w:rsidR="00000000" w:rsidRPr="008E61EA" w:rsidP="008E61EA">
      <w:pPr>
        <w:pStyle w:val="ListBullet2"/>
      </w:pPr>
      <w:r w:rsidRPr="008E61EA">
        <w:t>medicine information and resources on malignant disease and immunosuppressive disorders</w:t>
      </w:r>
    </w:p>
    <w:p w:rsidR="00000000" w:rsidRPr="008E61EA" w:rsidP="008E61EA">
      <w:pPr>
        <w:pStyle w:val="ListBullet"/>
      </w:pPr>
      <w:r w:rsidRPr="008E61EA">
        <w:t>authorised person with whom to consult.</w:t>
      </w:r>
    </w:p>
    <w:p w:rsidR="00000000" w:rsidRPr="008E61EA" w:rsidP="002C67CB">
      <w:pPr>
        <w:pStyle w:val="BodyText"/>
      </w:pPr>
      <w:r w:rsidRPr="008E61EA">
        <w:t>Assessors must satisfy the Standards for Registered Training Organisations’ requirements for assessors.</w:t>
      </w:r>
    </w:p>
    <w:p w:rsidR="00000000" w:rsidRPr="008E61EA" w:rsidP="008E61EA">
      <w:pPr>
        <w:pStyle w:val="Heading1"/>
      </w:pPr>
      <w:bookmarkStart w:id="5" w:name="O_1225626"/>
      <w:bookmarkEnd w:id="5"/>
      <w:r w:rsidRPr="008E61EA">
        <w:t>Link</w:t>
      </w:r>
      <w:r w:rsidRPr="008E61EA">
        <w:t>s</w:t>
      </w:r>
    </w:p>
    <w:p w:rsidR="00000000" w:rsidRPr="008E61EA" w:rsidP="002C67CB">
      <w:pPr>
        <w:pStyle w:val="BodyText"/>
      </w:pPr>
      <w:r w:rsidRPr="008E6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4746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E61EA" w:rsidP="008E61EA"/>
    <w:sectPr w:rsidSect="008E6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EA" w:rsidRPr="002C67CB" w:rsidP="002C6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CB" w:rsidP="008E6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7CB" w:rsidP="008E6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67CB" w:rsidP="008E6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1EA" w:rsidRPr="002C67CB" w:rsidP="002C6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CB" w:rsidRPr="002D2AF8" w:rsidP="008E6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HLTPHA027 Apply knowledge of malignant diseases and immunosuppressive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C67CB" w:rsidP="008E6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47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EC8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45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1EA"/>
  </w:style>
  <w:style w:type="character" w:customStyle="1" w:styleId="Heading1Char">
    <w:name w:val="Heading 1 Char"/>
    <w:basedOn w:val="DefaultParagraphFont"/>
    <w:link w:val="Heading1"/>
    <w:rsid w:val="008E6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1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61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6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61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6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1EA"/>
    <w:rPr>
      <w:b/>
      <w:spacing w:val="0"/>
    </w:rPr>
  </w:style>
  <w:style w:type="paragraph" w:customStyle="1" w:styleId="SuperTitle">
    <w:name w:val="SuperTitle"/>
    <w:basedOn w:val="Title"/>
    <w:rsid w:val="008E6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1EA"/>
    <w:rPr>
      <w:i/>
    </w:rPr>
  </w:style>
  <w:style w:type="paragraph" w:styleId="Caption">
    <w:name w:val="caption"/>
    <w:basedOn w:val="BodyText"/>
    <w:next w:val="Normal"/>
    <w:qFormat/>
    <w:rsid w:val="008E6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1EA"/>
  </w:style>
  <w:style w:type="paragraph" w:styleId="TableofFigures">
    <w:name w:val="table of figures"/>
    <w:basedOn w:val="Normal"/>
    <w:next w:val="Normal"/>
    <w:semiHidden/>
    <w:rsid w:val="008E6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1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61EA"/>
    <w:rPr>
      <w:rFonts w:ascii="Wingdings" w:hAnsi="Wingdings"/>
    </w:rPr>
  </w:style>
  <w:style w:type="paragraph" w:customStyle="1" w:styleId="TableHeading">
    <w:name w:val="Table Heading"/>
    <w:basedOn w:val="HeadingBase"/>
    <w:rsid w:val="008E6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1EA"/>
    <w:rPr>
      <w:color w:val="0033CC"/>
      <w:u w:val="none"/>
    </w:rPr>
  </w:style>
  <w:style w:type="paragraph" w:customStyle="1" w:styleId="BodyTextRight">
    <w:name w:val="Body Text Right"/>
    <w:basedOn w:val="BodyText"/>
    <w:rsid w:val="008E6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1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1EA"/>
    <w:rPr>
      <w:sz w:val="32"/>
    </w:rPr>
  </w:style>
  <w:style w:type="paragraph" w:customStyle="1" w:styleId="HeadingProcedure">
    <w:name w:val="Heading Procedure"/>
    <w:basedOn w:val="HeadingBase"/>
    <w:next w:val="Normal"/>
    <w:rsid w:val="008E6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1EA"/>
    <w:pPr>
      <w:spacing w:before="60" w:after="60"/>
    </w:pPr>
  </w:style>
  <w:style w:type="paragraph" w:styleId="ListContinue">
    <w:name w:val="List Continue"/>
    <w:basedOn w:val="List"/>
    <w:rsid w:val="008E61EA"/>
    <w:pPr>
      <w:ind w:firstLine="0"/>
    </w:pPr>
  </w:style>
  <w:style w:type="paragraph" w:customStyle="1" w:styleId="ListNote">
    <w:name w:val="List Note"/>
    <w:basedOn w:val="List"/>
    <w:rsid w:val="008E6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1EA"/>
    <w:rPr>
      <w:rFonts w:ascii="Courier New" w:hAnsi="Courier New"/>
    </w:rPr>
  </w:style>
  <w:style w:type="paragraph" w:customStyle="1" w:styleId="NoteBullet">
    <w:name w:val="Note Bullet"/>
    <w:basedOn w:val="Note"/>
    <w:rsid w:val="008E6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1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6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1EA"/>
    <w:rPr>
      <w:b/>
      <w:smallCaps/>
    </w:rPr>
  </w:style>
  <w:style w:type="paragraph" w:customStyle="1" w:styleId="TableListNumber">
    <w:name w:val="Table List Number"/>
    <w:basedOn w:val="ListNumber"/>
    <w:rsid w:val="008E6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1EA"/>
    <w:pPr>
      <w:numPr>
        <w:numId w:val="10"/>
      </w:numPr>
    </w:pPr>
  </w:style>
  <w:style w:type="paragraph" w:customStyle="1" w:styleId="ListAlpha2">
    <w:name w:val="List Alpha 2"/>
    <w:basedOn w:val="List2"/>
    <w:rsid w:val="008E61EA"/>
    <w:pPr>
      <w:numPr>
        <w:numId w:val="9"/>
      </w:numPr>
    </w:pPr>
  </w:style>
  <w:style w:type="paragraph" w:styleId="List2">
    <w:name w:val="List 2"/>
    <w:basedOn w:val="BodyText"/>
    <w:rsid w:val="008E6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1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61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61EA"/>
    <w:pPr>
      <w:numPr>
        <w:numId w:val="5"/>
      </w:numPr>
    </w:pPr>
  </w:style>
  <w:style w:type="paragraph" w:styleId="ListContinue2">
    <w:name w:val="List Continue 2"/>
    <w:basedOn w:val="List2"/>
    <w:rsid w:val="008E61EA"/>
    <w:pPr>
      <w:ind w:firstLine="0"/>
    </w:pPr>
  </w:style>
  <w:style w:type="paragraph" w:styleId="ListContinue3">
    <w:name w:val="List Continue 3"/>
    <w:basedOn w:val="List3"/>
    <w:rsid w:val="008E61EA"/>
    <w:pPr>
      <w:ind w:left="1021" w:firstLine="0"/>
    </w:pPr>
  </w:style>
  <w:style w:type="paragraph" w:styleId="ListContinue4">
    <w:name w:val="List Continue 4"/>
    <w:basedOn w:val="List4"/>
    <w:rsid w:val="008E61EA"/>
    <w:pPr>
      <w:ind w:firstLine="0"/>
    </w:pPr>
  </w:style>
  <w:style w:type="paragraph" w:styleId="ListContinue5">
    <w:name w:val="List Continue 5"/>
    <w:basedOn w:val="List5"/>
    <w:rsid w:val="008E61EA"/>
    <w:pPr>
      <w:ind w:firstLine="0"/>
    </w:pPr>
  </w:style>
  <w:style w:type="paragraph" w:styleId="ListNumber3">
    <w:name w:val="List Number 3"/>
    <w:basedOn w:val="List3"/>
    <w:rsid w:val="008E61EA"/>
    <w:pPr>
      <w:numPr>
        <w:numId w:val="6"/>
      </w:numPr>
    </w:pPr>
  </w:style>
  <w:style w:type="paragraph" w:styleId="ListNumber4">
    <w:name w:val="List Number 4"/>
    <w:basedOn w:val="List4"/>
    <w:rsid w:val="008E61EA"/>
    <w:pPr>
      <w:numPr>
        <w:numId w:val="7"/>
      </w:numPr>
    </w:pPr>
  </w:style>
  <w:style w:type="paragraph" w:styleId="ListNumber5">
    <w:name w:val="List Number 5"/>
    <w:basedOn w:val="List5"/>
    <w:rsid w:val="008E61EA"/>
    <w:pPr>
      <w:numPr>
        <w:numId w:val="8"/>
      </w:numPr>
    </w:pPr>
  </w:style>
  <w:style w:type="paragraph" w:styleId="BlockText">
    <w:name w:val="Block Text"/>
    <w:basedOn w:val="Normal"/>
    <w:rsid w:val="008E6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1EA"/>
    <w:rPr>
      <w:sz w:val="16"/>
      <w:vertAlign w:val="superscript"/>
    </w:rPr>
  </w:style>
  <w:style w:type="character" w:customStyle="1" w:styleId="Symbols">
    <w:name w:val="Symbols"/>
    <w:basedOn w:val="DefaultParagraphFont"/>
    <w:rsid w:val="008E61EA"/>
    <w:rPr>
      <w:rFonts w:ascii="Symbol" w:hAnsi="Symbol"/>
    </w:rPr>
  </w:style>
  <w:style w:type="character" w:customStyle="1" w:styleId="MenuOptions">
    <w:name w:val="Menu Options"/>
    <w:basedOn w:val="DefaultParagraphFont"/>
    <w:rsid w:val="008E6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1EA"/>
    <w:rPr>
      <w:b/>
    </w:rPr>
  </w:style>
  <w:style w:type="character" w:customStyle="1" w:styleId="Underlined">
    <w:name w:val="Underlined"/>
    <w:basedOn w:val="DefaultParagraphFont"/>
    <w:rsid w:val="008E61EA"/>
    <w:rPr>
      <w:u w:val="single"/>
    </w:rPr>
  </w:style>
  <w:style w:type="paragraph" w:customStyle="1" w:styleId="TableBodyTextRight">
    <w:name w:val="Table Body Text Right"/>
    <w:basedOn w:val="TableBodyText"/>
    <w:rsid w:val="008E6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1EA"/>
    <w:rPr>
      <w:sz w:val="18"/>
    </w:rPr>
  </w:style>
  <w:style w:type="paragraph" w:customStyle="1" w:styleId="BodySmallRight">
    <w:name w:val="Body Small Right"/>
    <w:basedOn w:val="BodyTextRight"/>
    <w:rsid w:val="008E61EA"/>
    <w:rPr>
      <w:sz w:val="18"/>
      <w:szCs w:val="18"/>
    </w:rPr>
  </w:style>
  <w:style w:type="paragraph" w:customStyle="1" w:styleId="MarginEdition">
    <w:name w:val="Margin Edition"/>
    <w:basedOn w:val="MarginNote"/>
    <w:rsid w:val="008E6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1EA"/>
    <w:rPr>
      <w:sz w:val="2"/>
      <w:szCs w:val="2"/>
    </w:rPr>
  </w:style>
  <w:style w:type="character" w:customStyle="1" w:styleId="Small">
    <w:name w:val="Small"/>
    <w:basedOn w:val="DefaultParagraphFont"/>
    <w:rsid w:val="008E61EA"/>
    <w:rPr>
      <w:sz w:val="16"/>
    </w:rPr>
  </w:style>
  <w:style w:type="paragraph" w:customStyle="1" w:styleId="WideTable">
    <w:name w:val="Wide Table"/>
    <w:basedOn w:val="Normal"/>
    <w:rsid w:val="008E6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1EA"/>
  </w:style>
  <w:style w:type="paragraph" w:styleId="Quote">
    <w:name w:val="Quote"/>
    <w:basedOn w:val="Heading1"/>
    <w:link w:val="QuoteChar"/>
    <w:qFormat/>
    <w:rsid w:val="008E6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1EA"/>
    <w:pPr>
      <w:pageBreakBefore/>
    </w:pPr>
  </w:style>
  <w:style w:type="paragraph" w:customStyle="1" w:styleId="Border">
    <w:name w:val="Border"/>
    <w:basedOn w:val="Normal"/>
    <w:qFormat/>
    <w:rsid w:val="008E6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1EA"/>
    <w:rPr>
      <w:u w:val="single"/>
    </w:rPr>
  </w:style>
  <w:style w:type="character" w:customStyle="1" w:styleId="BoldandItalics">
    <w:name w:val="Bold and Italics"/>
    <w:qFormat/>
    <w:rsid w:val="008E61EA"/>
    <w:rPr>
      <w:b/>
      <w:i/>
      <w:u w:val="none"/>
    </w:rPr>
  </w:style>
  <w:style w:type="paragraph" w:styleId="BalloonText">
    <w:name w:val="Balloon Text"/>
    <w:basedOn w:val="Normal"/>
    <w:link w:val="BalloonTextChar"/>
    <w:rsid w:val="008E6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1EA"/>
    <w:pPr>
      <w:spacing w:before="0" w:after="0"/>
    </w:pPr>
  </w:style>
  <w:style w:type="paragraph" w:customStyle="1" w:styleId="BodyTextBold">
    <w:name w:val="Body Text Bold"/>
    <w:basedOn w:val="BodyText"/>
    <w:qFormat/>
    <w:rsid w:val="008E61EA"/>
    <w:rPr>
      <w:b/>
    </w:rPr>
  </w:style>
  <w:style w:type="character" w:styleId="Hyperlink">
    <w:name w:val="Hyperlink"/>
    <w:basedOn w:val="DefaultParagraphFont"/>
    <w:uiPriority w:val="99"/>
    <w:unhideWhenUsed/>
    <w:rsid w:val="002C6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3720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HLTPHA027 Apply knowledge of malignant diseases and immunosuppressive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