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6A6" w:rsidP="008F0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HLTPHA025 Apply knowledge of medications used for infections, immunological products and vaccines</w:t>
      </w:r>
      <w:r>
        <w:fldChar w:fldCharType="end"/>
      </w:r>
    </w:p>
    <w:p w:rsidR="008F06A6" w:rsidP="008F06A6">
      <w:pPr>
        <w:pStyle w:val="Version"/>
        <w:sectPr w:rsidSect="005F3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65D" w:rsidP="005F365D">
      <w:pPr>
        <w:pStyle w:val="SuperHeading"/>
      </w:pPr>
      <w:r w:rsidRPr="005F365D">
        <w:t>Assessment Requirements for HLTPHA025 Apply knowledge of medications used for infections, immunological products and vaccines</w:t>
      </w:r>
    </w:p>
    <w:p w:rsidR="00000000" w:rsidRPr="005F365D" w:rsidP="005F365D">
      <w:pPr>
        <w:pStyle w:val="Heading1"/>
      </w:pPr>
      <w:bookmarkStart w:id="1" w:name="O_1225566"/>
      <w:bookmarkEnd w:id="1"/>
      <w:r w:rsidRPr="005F365D">
        <w:t>Modification History</w:t>
      </w:r>
    </w:p>
    <w:p w:rsidR="00000000" w:rsidRPr="005F365D" w:rsidP="008F06A6">
      <w:pPr>
        <w:pStyle w:val="BodyText"/>
      </w:pPr>
      <w:r w:rsidRPr="005F365D">
        <w:t>Not applicable.</w:t>
      </w:r>
    </w:p>
    <w:p w:rsidR="00000000" w:rsidRPr="005F365D" w:rsidP="005F365D">
      <w:pPr>
        <w:pStyle w:val="Heading1"/>
      </w:pPr>
      <w:bookmarkStart w:id="2" w:name="O_1225567"/>
      <w:bookmarkEnd w:id="2"/>
      <w:r w:rsidRPr="005F365D">
        <w:t>Performance Evidence</w:t>
      </w:r>
    </w:p>
    <w:p w:rsidR="00000000" w:rsidRPr="005F365D" w:rsidP="008F06A6">
      <w:pPr>
        <w:pStyle w:val="BodyText"/>
      </w:pPr>
      <w:r w:rsidRPr="005F365D">
        <w:t>Evidence of the ability to complete tasks outlined in elements and performance criteria of this unit in the context of the job role, and:</w:t>
      </w:r>
    </w:p>
    <w:p w:rsidR="00000000" w:rsidRPr="005F365D" w:rsidP="005F365D">
      <w:pPr>
        <w:pStyle w:val="ListBullet"/>
      </w:pPr>
      <w:r w:rsidRPr="005F365D">
        <w:t>prepare and dispense antibiotics on at least 10 occasions and informed at least 10 patients, including:</w:t>
      </w:r>
    </w:p>
    <w:p w:rsidR="00000000" w:rsidRPr="005F365D" w:rsidP="005F365D">
      <w:pPr>
        <w:pStyle w:val="ListBullet2"/>
      </w:pPr>
      <w:r w:rsidRPr="005F365D">
        <w:t xml:space="preserve">identifying </w:t>
      </w:r>
      <w:r w:rsidRPr="005F365D">
        <w:t>and sourcing information</w:t>
      </w:r>
    </w:p>
    <w:p w:rsidR="00000000" w:rsidRPr="005F365D" w:rsidP="005F365D">
      <w:pPr>
        <w:pStyle w:val="ListBullet2"/>
      </w:pPr>
      <w:r w:rsidRPr="005F365D">
        <w:t>screening, assessing and providing basic medication discharge information and instructions to patients regarding the use of antibiotics</w:t>
      </w:r>
    </w:p>
    <w:p w:rsidR="00000000" w:rsidRPr="005F365D" w:rsidP="005F365D">
      <w:pPr>
        <w:pStyle w:val="ListBullet2"/>
      </w:pPr>
      <w:r w:rsidRPr="005F365D">
        <w:t>referral of enquiries outside scope of own practice to the pharmacist</w:t>
      </w:r>
    </w:p>
    <w:p w:rsidR="00000000" w:rsidRPr="005F365D" w:rsidP="005F365D">
      <w:pPr>
        <w:pStyle w:val="ListBullet2"/>
      </w:pPr>
      <w:r w:rsidRPr="005F365D">
        <w:t>confirmation of medicatio</w:t>
      </w:r>
      <w:r w:rsidRPr="005F365D">
        <w:t>n dispensing with an authorised person</w:t>
      </w:r>
    </w:p>
    <w:p w:rsidR="00000000" w:rsidRPr="005F365D" w:rsidP="005F365D">
      <w:pPr>
        <w:pStyle w:val="ListBullet"/>
      </w:pPr>
      <w:r w:rsidRPr="005F365D">
        <w:t>perform the activities outlined in the performance criteria of this unit during a period of 240 hours of work related to hospital or health services pharmacy support in a clinical workplace environment. These 240 hou</w:t>
      </w:r>
      <w:r w:rsidRPr="005F365D">
        <w:t>rs may be applied collectively across all units of competency that include the requirement for workplace hours for the purposes of assessment.</w:t>
      </w:r>
    </w:p>
    <w:p w:rsidR="00000000" w:rsidRPr="005F365D" w:rsidP="005F365D">
      <w:pPr>
        <w:pStyle w:val="AllowPageBreak"/>
      </w:pPr>
    </w:p>
    <w:p w:rsidR="00000000" w:rsidRPr="005F365D" w:rsidP="005F365D">
      <w:pPr>
        <w:pStyle w:val="Heading1"/>
      </w:pPr>
      <w:bookmarkStart w:id="3" w:name="O_1225568"/>
      <w:bookmarkEnd w:id="3"/>
      <w:r w:rsidRPr="005F365D">
        <w:t>Knowledge Evidence</w:t>
      </w:r>
    </w:p>
    <w:p w:rsidR="00000000" w:rsidRPr="005F365D" w:rsidP="008F06A6">
      <w:pPr>
        <w:pStyle w:val="BodyText"/>
      </w:pPr>
      <w:r w:rsidRPr="005F365D">
        <w:t>Demonstrated knowledge required to complete the tasks outlined in elements and performance criteria of this unit:</w:t>
      </w:r>
    </w:p>
    <w:p w:rsidR="00000000" w:rsidRPr="005F365D" w:rsidP="005F365D">
      <w:pPr>
        <w:pStyle w:val="ListBullet"/>
      </w:pPr>
      <w:r w:rsidRPr="005F365D">
        <w:t>understand information about a common infection including:</w:t>
      </w:r>
    </w:p>
    <w:p w:rsidR="00000000" w:rsidRPr="005F365D" w:rsidP="005F365D">
      <w:pPr>
        <w:pStyle w:val="ListBullet2"/>
      </w:pPr>
      <w:r w:rsidRPr="005F365D">
        <w:t>common infection that requires the use of immunological products and vaccines</w:t>
      </w:r>
    </w:p>
    <w:p w:rsidR="00000000" w:rsidRPr="005F365D" w:rsidP="005F365D">
      <w:pPr>
        <w:pStyle w:val="ListBullet2"/>
      </w:pPr>
      <w:r w:rsidRPr="005F365D">
        <w:t>rec</w:t>
      </w:r>
      <w:r w:rsidRPr="005F365D">
        <w:t>ognition of medication classes as antimicrobials</w:t>
      </w:r>
    </w:p>
    <w:p w:rsidR="00000000" w:rsidRPr="005F365D" w:rsidP="005F365D">
      <w:pPr>
        <w:pStyle w:val="ListBullet2"/>
      </w:pPr>
      <w:r w:rsidRPr="005F365D">
        <w:t>institutional guidelines and policies on Antimicrobial Stewardship (AMS)</w:t>
      </w:r>
    </w:p>
    <w:p w:rsidR="00000000" w:rsidRPr="005F365D" w:rsidP="005F365D">
      <w:pPr>
        <w:pStyle w:val="ListBullet2"/>
      </w:pPr>
      <w:r w:rsidRPr="005F365D">
        <w:t>regulatory and legislative vaccination requirements in research</w:t>
      </w:r>
    </w:p>
    <w:p w:rsidR="00000000" w:rsidRPr="005F365D" w:rsidP="005F365D">
      <w:pPr>
        <w:pStyle w:val="ListBullet2"/>
      </w:pPr>
      <w:r w:rsidRPr="005F365D">
        <w:t>access to pathology results to obtain sample results</w:t>
      </w:r>
    </w:p>
    <w:p w:rsidR="00000000" w:rsidRPr="005F365D" w:rsidP="005F365D">
      <w:pPr>
        <w:pStyle w:val="ListBullet2"/>
      </w:pPr>
      <w:r w:rsidRPr="005F365D">
        <w:t>comparison of sam</w:t>
      </w:r>
      <w:r w:rsidRPr="005F365D">
        <w:t>ple collection timing to references</w:t>
      </w:r>
    </w:p>
    <w:p w:rsidR="00000000" w:rsidRPr="005F365D" w:rsidP="005F365D">
      <w:pPr>
        <w:pStyle w:val="ListBullet2"/>
      </w:pPr>
      <w:r w:rsidRPr="005F365D">
        <w:t>record of relevant information for review by an authorised person</w:t>
      </w:r>
    </w:p>
    <w:p w:rsidR="00000000" w:rsidRPr="005F365D" w:rsidP="005F365D">
      <w:pPr>
        <w:pStyle w:val="ListBullet"/>
      </w:pPr>
      <w:r w:rsidRPr="005F365D">
        <w:t>factors that influence selection of antimicrobials, including:</w:t>
      </w:r>
    </w:p>
    <w:p w:rsidR="00000000" w:rsidRPr="005F365D" w:rsidP="005F365D">
      <w:pPr>
        <w:pStyle w:val="ListBullet2"/>
      </w:pPr>
      <w:r w:rsidRPr="005F365D">
        <w:t>spectrum of activity</w:t>
      </w:r>
    </w:p>
    <w:p w:rsidR="00000000" w:rsidRPr="005F365D" w:rsidP="005F365D">
      <w:pPr>
        <w:pStyle w:val="ListBullet2"/>
      </w:pPr>
      <w:r w:rsidRPr="005F365D">
        <w:t>organism factors</w:t>
      </w:r>
    </w:p>
    <w:p w:rsidR="00000000" w:rsidRPr="005F365D" w:rsidP="005F365D">
      <w:pPr>
        <w:pStyle w:val="ListBullet2"/>
      </w:pPr>
      <w:r w:rsidRPr="005F365D">
        <w:t>disease factors</w:t>
      </w:r>
    </w:p>
    <w:p w:rsidR="00000000" w:rsidRPr="005F365D" w:rsidP="005F365D">
      <w:pPr>
        <w:pStyle w:val="ListBullet2"/>
      </w:pPr>
      <w:r w:rsidRPr="005F365D">
        <w:t>patient factors</w:t>
      </w:r>
    </w:p>
    <w:p w:rsidR="00000000" w:rsidRPr="005F365D" w:rsidP="005F365D">
      <w:pPr>
        <w:pStyle w:val="ListBullet"/>
      </w:pPr>
      <w:r w:rsidRPr="005F365D">
        <w:t>rationale for the use of antimicrobials, including:</w:t>
      </w:r>
    </w:p>
    <w:p w:rsidR="00000000" w:rsidRPr="005F365D" w:rsidP="005F365D">
      <w:pPr>
        <w:pStyle w:val="ListBullet2"/>
      </w:pPr>
      <w:r w:rsidRPr="005F365D">
        <w:t>empiric therapy</w:t>
      </w:r>
    </w:p>
    <w:p w:rsidR="00000000" w:rsidRPr="005F365D" w:rsidP="005F365D">
      <w:pPr>
        <w:pStyle w:val="ListBullet2"/>
      </w:pPr>
      <w:r w:rsidRPr="005F365D">
        <w:t>directed therapy</w:t>
      </w:r>
    </w:p>
    <w:p w:rsidR="00000000" w:rsidRPr="005F365D" w:rsidP="005F365D">
      <w:pPr>
        <w:pStyle w:val="ListBullet2"/>
      </w:pPr>
      <w:r w:rsidRPr="005F365D">
        <w:t>prophylaxis</w:t>
      </w:r>
    </w:p>
    <w:p w:rsidR="00000000" w:rsidRPr="005F365D" w:rsidP="005F365D">
      <w:pPr>
        <w:pStyle w:val="ListBullet"/>
      </w:pPr>
      <w:r w:rsidRPr="005F365D">
        <w:t>allergic reactions, including:</w:t>
      </w:r>
    </w:p>
    <w:p w:rsidR="00000000" w:rsidRPr="005F365D" w:rsidP="005F365D">
      <w:pPr>
        <w:pStyle w:val="ListBullet2"/>
      </w:pPr>
      <w:r w:rsidRPr="005F365D">
        <w:t>signs of an allergic reaction</w:t>
      </w:r>
    </w:p>
    <w:p w:rsidR="00000000" w:rsidRPr="005F365D" w:rsidP="005F365D">
      <w:pPr>
        <w:pStyle w:val="ListBullet2"/>
      </w:pPr>
      <w:r w:rsidRPr="005F365D">
        <w:t>types of allergic reactions</w:t>
      </w:r>
    </w:p>
    <w:p w:rsidR="00000000" w:rsidRPr="005F365D" w:rsidP="005F365D">
      <w:pPr>
        <w:pStyle w:val="ListBullet2"/>
      </w:pPr>
      <w:r w:rsidRPr="005F365D">
        <w:t>prevalence of allergic reactions</w:t>
      </w:r>
    </w:p>
    <w:p w:rsidR="00000000" w:rsidRPr="005F365D" w:rsidP="005F365D">
      <w:pPr>
        <w:pStyle w:val="ListBullet2"/>
      </w:pPr>
      <w:r w:rsidRPr="005F365D">
        <w:t>cross reactivity between medicatio</w:t>
      </w:r>
      <w:r w:rsidRPr="005F365D">
        <w:t>ns</w:t>
      </w:r>
    </w:p>
    <w:p w:rsidR="00000000" w:rsidRPr="005F365D" w:rsidP="005F365D">
      <w:pPr>
        <w:pStyle w:val="ListBullet"/>
      </w:pPr>
      <w:r w:rsidRPr="005F365D">
        <w:t>therapeutic drug monitoring (TDM):</w:t>
      </w:r>
    </w:p>
    <w:p w:rsidR="00000000" w:rsidRPr="005F365D" w:rsidP="005F365D">
      <w:pPr>
        <w:pStyle w:val="ListBullet2"/>
      </w:pPr>
      <w:r w:rsidRPr="005F365D">
        <w:t>which antimicrobials require TDM</w:t>
      </w:r>
    </w:p>
    <w:p w:rsidR="00000000" w:rsidRPr="005F365D" w:rsidP="005F365D">
      <w:pPr>
        <w:pStyle w:val="ListBullet"/>
      </w:pPr>
      <w:r w:rsidRPr="005F365D">
        <w:t>information sources available, including:</w:t>
      </w:r>
    </w:p>
    <w:p w:rsidR="00000000" w:rsidRPr="005F365D" w:rsidP="005F365D">
      <w:pPr>
        <w:pStyle w:val="ListBullet2"/>
      </w:pPr>
      <w:r w:rsidRPr="005F365D">
        <w:t>reference ranges</w:t>
      </w:r>
    </w:p>
    <w:p w:rsidR="00000000" w:rsidRPr="005F365D" w:rsidP="005F365D">
      <w:pPr>
        <w:pStyle w:val="ListBullet2"/>
      </w:pPr>
      <w:r w:rsidRPr="005F365D">
        <w:t>timing of sample collections</w:t>
      </w:r>
    </w:p>
    <w:p w:rsidR="00000000" w:rsidRPr="005F365D" w:rsidP="005F365D">
      <w:pPr>
        <w:pStyle w:val="ListBullet"/>
      </w:pPr>
      <w:r w:rsidRPr="005F365D">
        <w:t>antimicrobial stewardship:</w:t>
      </w:r>
    </w:p>
    <w:p w:rsidR="00000000" w:rsidRPr="005F365D" w:rsidP="005F365D">
      <w:pPr>
        <w:pStyle w:val="ListBullet2"/>
      </w:pPr>
      <w:r w:rsidRPr="005F365D">
        <w:t>relevant organisational policies on antimicrobial stewardship</w:t>
      </w:r>
    </w:p>
    <w:p w:rsidR="00000000" w:rsidRPr="005F365D" w:rsidP="005F365D">
      <w:pPr>
        <w:pStyle w:val="ListBullet2"/>
      </w:pPr>
      <w:r w:rsidRPr="005F365D">
        <w:t>rationale for antimicrobial stewardship</w:t>
      </w:r>
    </w:p>
    <w:p w:rsidR="00000000" w:rsidRPr="005F365D" w:rsidP="005F365D">
      <w:pPr>
        <w:pStyle w:val="ListBullet2"/>
      </w:pPr>
      <w:r w:rsidRPr="005F365D">
        <w:t>restricted or protected antimicrobials</w:t>
      </w:r>
    </w:p>
    <w:p w:rsidR="00000000" w:rsidRPr="005F365D" w:rsidP="005F365D">
      <w:pPr>
        <w:pStyle w:val="ListBullet2"/>
      </w:pPr>
      <w:r w:rsidRPr="005F365D">
        <w:t>concept of antimicrobial resistance</w:t>
      </w:r>
    </w:p>
    <w:p w:rsidR="00000000" w:rsidRPr="005F365D" w:rsidP="005F365D">
      <w:pPr>
        <w:pStyle w:val="ListBullet"/>
      </w:pPr>
      <w:r w:rsidRPr="005F365D">
        <w:t>antifungals, including:</w:t>
      </w:r>
    </w:p>
    <w:p w:rsidR="00000000" w:rsidRPr="005F365D" w:rsidP="005F365D">
      <w:pPr>
        <w:pStyle w:val="ListBullet2"/>
      </w:pPr>
      <w:r w:rsidRPr="005F365D">
        <w:t>treatment of fungal infections</w:t>
      </w:r>
    </w:p>
    <w:p w:rsidR="00000000" w:rsidRPr="005F365D" w:rsidP="005F365D">
      <w:pPr>
        <w:pStyle w:val="ListBullet2"/>
      </w:pPr>
      <w:r w:rsidRPr="005F365D">
        <w:t>mode of action of medications</w:t>
      </w:r>
    </w:p>
    <w:p w:rsidR="00000000" w:rsidRPr="005F365D" w:rsidP="005F365D">
      <w:pPr>
        <w:pStyle w:val="ListBullet"/>
      </w:pPr>
      <w:r w:rsidRPr="005F365D">
        <w:t>vaccine information, including:</w:t>
      </w:r>
    </w:p>
    <w:p w:rsidR="00000000" w:rsidRPr="005F365D" w:rsidP="005F365D">
      <w:pPr>
        <w:pStyle w:val="ListBullet2"/>
      </w:pPr>
      <w:r w:rsidRPr="005F365D">
        <w:t>the Australian Immun</w:t>
      </w:r>
      <w:r w:rsidRPr="005F365D">
        <w:t>isation schedule</w:t>
      </w:r>
    </w:p>
    <w:p w:rsidR="00000000" w:rsidRPr="005F365D" w:rsidP="005F365D">
      <w:pPr>
        <w:pStyle w:val="ListBullet2"/>
      </w:pPr>
      <w:r w:rsidRPr="005F365D">
        <w:t>the benefits and risks of vaccination</w:t>
      </w:r>
    </w:p>
    <w:p w:rsidR="00000000" w:rsidRPr="005F365D" w:rsidP="005F365D">
      <w:pPr>
        <w:pStyle w:val="ListBullet"/>
      </w:pPr>
      <w:r w:rsidRPr="005F365D">
        <w:t>references available, including:</w:t>
      </w:r>
    </w:p>
    <w:p w:rsidR="00000000" w:rsidRPr="005F365D" w:rsidP="005F365D">
      <w:pPr>
        <w:pStyle w:val="ListBullet2"/>
      </w:pPr>
      <w:r w:rsidRPr="005F365D">
        <w:t>Therapeutics Guideline: Antibiotic</w:t>
      </w:r>
    </w:p>
    <w:p w:rsidR="00000000" w:rsidRPr="005F365D" w:rsidP="005F365D">
      <w:pPr>
        <w:pStyle w:val="ListBullet2"/>
      </w:pPr>
      <w:r w:rsidRPr="005F365D">
        <w:t>Australian Medicines Handbook (AMH)</w:t>
      </w:r>
    </w:p>
    <w:p w:rsidR="00000000" w:rsidRPr="005F365D" w:rsidP="005F365D">
      <w:pPr>
        <w:pStyle w:val="ListBullet2"/>
      </w:pPr>
      <w:r w:rsidRPr="005F365D">
        <w:t>Australian Pharmaceutical Formulary Handbook (APF)</w:t>
      </w:r>
    </w:p>
    <w:p w:rsidR="00000000" w:rsidRPr="005F365D" w:rsidP="005F365D">
      <w:pPr>
        <w:pStyle w:val="ListBullet2"/>
      </w:pPr>
      <w:r w:rsidRPr="005F365D">
        <w:t>Monthly Index of Medical Specialities (MIMS)</w:t>
      </w:r>
      <w:r w:rsidRPr="005F365D">
        <w:t xml:space="preserve"> or AusDI Advanced</w:t>
      </w:r>
    </w:p>
    <w:p w:rsidR="00000000" w:rsidRPr="005F365D" w:rsidP="005F365D">
      <w:pPr>
        <w:pStyle w:val="ListBullet2"/>
      </w:pPr>
      <w:r w:rsidRPr="005F365D">
        <w:t>Micromedex</w:t>
      </w:r>
    </w:p>
    <w:p w:rsidR="00000000" w:rsidRPr="005F365D" w:rsidP="005F365D">
      <w:pPr>
        <w:pStyle w:val="ListBullet"/>
      </w:pPr>
      <w:r w:rsidRPr="005F365D">
        <w:t>legal responsibilities of providers of health care in relation to confidentiality, patient rights, duty of care and implications of negligence</w:t>
      </w:r>
    </w:p>
    <w:p w:rsidR="00000000" w:rsidRPr="005F365D" w:rsidP="005F365D">
      <w:pPr>
        <w:pStyle w:val="ListBullet"/>
      </w:pPr>
      <w:r w:rsidRPr="005F365D">
        <w:t>limitations of own work role including identification and referring of issues outside scope of practice to an authorised person</w:t>
      </w:r>
    </w:p>
    <w:p w:rsidR="00000000" w:rsidRPr="005F365D" w:rsidP="005F365D">
      <w:pPr>
        <w:pStyle w:val="ListBullet"/>
      </w:pPr>
      <w:r w:rsidRPr="005F365D">
        <w:t>relevant National, State or Territory regulatory and legislative requirements regarding vaccination.</w:t>
      </w:r>
    </w:p>
    <w:p w:rsidR="00000000" w:rsidRPr="005F365D" w:rsidP="005F365D">
      <w:pPr>
        <w:pStyle w:val="AllowPageBreak"/>
      </w:pPr>
    </w:p>
    <w:p w:rsidR="00000000" w:rsidRPr="005F365D" w:rsidP="005F365D">
      <w:pPr>
        <w:pStyle w:val="Heading1"/>
      </w:pPr>
      <w:bookmarkStart w:id="4" w:name="O_1225569"/>
      <w:bookmarkEnd w:id="4"/>
      <w:r w:rsidRPr="005F365D">
        <w:t>Assessme</w:t>
      </w:r>
      <w:r w:rsidRPr="005F365D">
        <w:t>nt Conditions</w:t>
      </w:r>
    </w:p>
    <w:p w:rsidR="00000000" w:rsidRPr="005F365D" w:rsidP="008F06A6">
      <w:pPr>
        <w:pStyle w:val="BodyText"/>
      </w:pPr>
      <w:r w:rsidRPr="005F365D">
        <w:t>Skills must be demonstrated in the workplace with the addition of simulations and scenarios where the full range of contexts and situations have not been provided in the workplace.</w:t>
      </w:r>
    </w:p>
    <w:p w:rsidR="00000000" w:rsidRPr="005F365D" w:rsidP="008F06A6">
      <w:pPr>
        <w:pStyle w:val="BodyText"/>
      </w:pPr>
      <w:r w:rsidRPr="005F365D">
        <w:t>Assessment must ensure access to:</w:t>
      </w:r>
    </w:p>
    <w:p w:rsidR="00000000" w:rsidRPr="005F365D" w:rsidP="005F365D">
      <w:pPr>
        <w:pStyle w:val="ListBullet"/>
      </w:pPr>
      <w:r w:rsidRPr="005F365D">
        <w:t>use of suitable facilities</w:t>
      </w:r>
      <w:r w:rsidRPr="005F365D">
        <w:t>, equipment and resources, including:</w:t>
      </w:r>
    </w:p>
    <w:p w:rsidR="00000000" w:rsidRPr="005F365D" w:rsidP="005F365D">
      <w:pPr>
        <w:pStyle w:val="ListBullet2"/>
      </w:pPr>
      <w:r w:rsidRPr="005F365D">
        <w:t>relevant legislation, regulations and guidelines</w:t>
      </w:r>
    </w:p>
    <w:p w:rsidR="00000000" w:rsidRPr="005F365D" w:rsidP="005F365D">
      <w:pPr>
        <w:pStyle w:val="ListBullet2"/>
      </w:pPr>
      <w:r w:rsidRPr="005F365D">
        <w:t>medicine information and resources on infections, immunological products and vaccine</w:t>
      </w:r>
    </w:p>
    <w:p w:rsidR="00000000" w:rsidRPr="005F365D" w:rsidP="005F365D">
      <w:pPr>
        <w:pStyle w:val="ListBullet"/>
      </w:pPr>
      <w:r w:rsidRPr="005F365D">
        <w:t>authorised person with whom to consult.</w:t>
      </w:r>
    </w:p>
    <w:p w:rsidR="00000000" w:rsidRPr="005F365D" w:rsidP="008F06A6">
      <w:pPr>
        <w:pStyle w:val="BodyText"/>
      </w:pPr>
      <w:r w:rsidRPr="005F365D">
        <w:t>Assessors must satisfy the Standards for R</w:t>
      </w:r>
      <w:r w:rsidRPr="005F365D">
        <w:t>egistered Training Organisations’ requirements for assessors.</w:t>
      </w:r>
    </w:p>
    <w:p w:rsidR="00000000" w:rsidRPr="005F365D" w:rsidP="005F365D">
      <w:pPr>
        <w:pStyle w:val="Heading1"/>
      </w:pPr>
      <w:bookmarkStart w:id="5" w:name="O_1225572"/>
      <w:bookmarkEnd w:id="5"/>
      <w:r w:rsidRPr="005F365D">
        <w:t>Links</w:t>
      </w:r>
    </w:p>
    <w:p w:rsidR="00000000" w:rsidRPr="005F365D" w:rsidP="008F06A6">
      <w:pPr>
        <w:pStyle w:val="BodyText"/>
      </w:pPr>
      <w:r w:rsidRPr="005F3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D5C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F365D" w:rsidP="005F365D"/>
    <w:sectPr w:rsidSect="005F3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5D" w:rsidRPr="008F06A6" w:rsidP="008F0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A6" w:rsidP="005F3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6A6" w:rsidP="005F3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06A6" w:rsidP="005F3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65D" w:rsidRPr="008F06A6" w:rsidP="008F0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6A6" w:rsidRPr="002D2AF8" w:rsidP="005F3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HLTPHA025 Apply knowledge of medications used for infections, immunological products and vaccines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F06A6" w:rsidP="005F3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0B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A5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FEE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65D"/>
  </w:style>
  <w:style w:type="character" w:customStyle="1" w:styleId="Heading1Char">
    <w:name w:val="Heading 1 Char"/>
    <w:basedOn w:val="DefaultParagraphFont"/>
    <w:link w:val="Heading1"/>
    <w:rsid w:val="005F3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6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36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65D"/>
    <w:rPr>
      <w:b/>
      <w:spacing w:val="0"/>
    </w:rPr>
  </w:style>
  <w:style w:type="paragraph" w:customStyle="1" w:styleId="SuperTitle">
    <w:name w:val="SuperTitle"/>
    <w:basedOn w:val="Title"/>
    <w:rsid w:val="005F3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65D"/>
    <w:rPr>
      <w:i/>
    </w:rPr>
  </w:style>
  <w:style w:type="paragraph" w:styleId="Caption">
    <w:name w:val="caption"/>
    <w:basedOn w:val="BodyText"/>
    <w:next w:val="Normal"/>
    <w:qFormat/>
    <w:rsid w:val="005F3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65D"/>
  </w:style>
  <w:style w:type="paragraph" w:styleId="TableofFigures">
    <w:name w:val="table of figures"/>
    <w:basedOn w:val="Normal"/>
    <w:next w:val="Normal"/>
    <w:semiHidden/>
    <w:rsid w:val="005F3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6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65D"/>
    <w:rPr>
      <w:rFonts w:ascii="Wingdings" w:hAnsi="Wingdings"/>
    </w:rPr>
  </w:style>
  <w:style w:type="paragraph" w:customStyle="1" w:styleId="TableHeading">
    <w:name w:val="Table Heading"/>
    <w:basedOn w:val="HeadingBase"/>
    <w:rsid w:val="005F3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65D"/>
    <w:rPr>
      <w:color w:val="0033CC"/>
      <w:u w:val="none"/>
    </w:rPr>
  </w:style>
  <w:style w:type="paragraph" w:customStyle="1" w:styleId="BodyTextRight">
    <w:name w:val="Body Text Right"/>
    <w:basedOn w:val="BodyText"/>
    <w:rsid w:val="005F3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6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65D"/>
    <w:rPr>
      <w:sz w:val="32"/>
    </w:rPr>
  </w:style>
  <w:style w:type="paragraph" w:customStyle="1" w:styleId="HeadingProcedure">
    <w:name w:val="Heading Procedure"/>
    <w:basedOn w:val="HeadingBase"/>
    <w:next w:val="Normal"/>
    <w:rsid w:val="005F3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65D"/>
    <w:pPr>
      <w:spacing w:before="60" w:after="60"/>
    </w:pPr>
  </w:style>
  <w:style w:type="paragraph" w:styleId="ListContinue">
    <w:name w:val="List Continue"/>
    <w:basedOn w:val="List"/>
    <w:rsid w:val="005F365D"/>
    <w:pPr>
      <w:ind w:firstLine="0"/>
    </w:pPr>
  </w:style>
  <w:style w:type="paragraph" w:customStyle="1" w:styleId="ListNote">
    <w:name w:val="List Note"/>
    <w:basedOn w:val="List"/>
    <w:rsid w:val="005F3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65D"/>
    <w:rPr>
      <w:rFonts w:ascii="Courier New" w:hAnsi="Courier New"/>
    </w:rPr>
  </w:style>
  <w:style w:type="paragraph" w:customStyle="1" w:styleId="NoteBullet">
    <w:name w:val="Note Bullet"/>
    <w:basedOn w:val="Note"/>
    <w:rsid w:val="005F3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6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65D"/>
    <w:rPr>
      <w:b/>
      <w:smallCaps/>
    </w:rPr>
  </w:style>
  <w:style w:type="paragraph" w:customStyle="1" w:styleId="TableListNumber">
    <w:name w:val="Table List Number"/>
    <w:basedOn w:val="ListNumber"/>
    <w:rsid w:val="005F3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65D"/>
    <w:pPr>
      <w:numPr>
        <w:numId w:val="9"/>
      </w:numPr>
    </w:pPr>
  </w:style>
  <w:style w:type="paragraph" w:customStyle="1" w:styleId="ListAlpha2">
    <w:name w:val="List Alpha 2"/>
    <w:basedOn w:val="List2"/>
    <w:rsid w:val="005F365D"/>
    <w:pPr>
      <w:numPr>
        <w:numId w:val="8"/>
      </w:numPr>
    </w:pPr>
  </w:style>
  <w:style w:type="paragraph" w:styleId="List2">
    <w:name w:val="List 2"/>
    <w:basedOn w:val="BodyText"/>
    <w:rsid w:val="005F3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6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6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65D"/>
    <w:pPr>
      <w:numPr>
        <w:numId w:val="4"/>
      </w:numPr>
    </w:pPr>
  </w:style>
  <w:style w:type="paragraph" w:styleId="ListContinue2">
    <w:name w:val="List Continue 2"/>
    <w:basedOn w:val="List2"/>
    <w:rsid w:val="005F365D"/>
    <w:pPr>
      <w:ind w:firstLine="0"/>
    </w:pPr>
  </w:style>
  <w:style w:type="paragraph" w:styleId="ListContinue3">
    <w:name w:val="List Continue 3"/>
    <w:basedOn w:val="List3"/>
    <w:rsid w:val="005F365D"/>
    <w:pPr>
      <w:ind w:left="1021" w:firstLine="0"/>
    </w:pPr>
  </w:style>
  <w:style w:type="paragraph" w:styleId="ListContinue4">
    <w:name w:val="List Continue 4"/>
    <w:basedOn w:val="List4"/>
    <w:rsid w:val="005F365D"/>
    <w:pPr>
      <w:ind w:firstLine="0"/>
    </w:pPr>
  </w:style>
  <w:style w:type="paragraph" w:styleId="ListContinue5">
    <w:name w:val="List Continue 5"/>
    <w:basedOn w:val="List5"/>
    <w:rsid w:val="005F365D"/>
    <w:pPr>
      <w:ind w:firstLine="0"/>
    </w:pPr>
  </w:style>
  <w:style w:type="paragraph" w:styleId="ListNumber3">
    <w:name w:val="List Number 3"/>
    <w:basedOn w:val="List3"/>
    <w:rsid w:val="005F365D"/>
    <w:pPr>
      <w:numPr>
        <w:numId w:val="5"/>
      </w:numPr>
    </w:pPr>
  </w:style>
  <w:style w:type="paragraph" w:styleId="ListNumber4">
    <w:name w:val="List Number 4"/>
    <w:basedOn w:val="List4"/>
    <w:rsid w:val="005F365D"/>
    <w:pPr>
      <w:numPr>
        <w:numId w:val="6"/>
      </w:numPr>
    </w:pPr>
  </w:style>
  <w:style w:type="paragraph" w:styleId="ListNumber5">
    <w:name w:val="List Number 5"/>
    <w:basedOn w:val="List5"/>
    <w:rsid w:val="005F365D"/>
    <w:pPr>
      <w:numPr>
        <w:numId w:val="7"/>
      </w:numPr>
    </w:pPr>
  </w:style>
  <w:style w:type="paragraph" w:styleId="BlockText">
    <w:name w:val="Block Text"/>
    <w:basedOn w:val="Normal"/>
    <w:rsid w:val="005F3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65D"/>
    <w:rPr>
      <w:sz w:val="16"/>
      <w:vertAlign w:val="superscript"/>
    </w:rPr>
  </w:style>
  <w:style w:type="character" w:customStyle="1" w:styleId="Symbols">
    <w:name w:val="Symbols"/>
    <w:basedOn w:val="DefaultParagraphFont"/>
    <w:rsid w:val="005F365D"/>
    <w:rPr>
      <w:rFonts w:ascii="Symbol" w:hAnsi="Symbol"/>
    </w:rPr>
  </w:style>
  <w:style w:type="character" w:customStyle="1" w:styleId="MenuOptions">
    <w:name w:val="Menu Options"/>
    <w:basedOn w:val="DefaultParagraphFont"/>
    <w:rsid w:val="005F3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65D"/>
    <w:rPr>
      <w:b/>
    </w:rPr>
  </w:style>
  <w:style w:type="character" w:customStyle="1" w:styleId="Underlined">
    <w:name w:val="Underlined"/>
    <w:basedOn w:val="DefaultParagraphFont"/>
    <w:rsid w:val="005F365D"/>
    <w:rPr>
      <w:u w:val="single"/>
    </w:rPr>
  </w:style>
  <w:style w:type="paragraph" w:customStyle="1" w:styleId="TableBodyTextRight">
    <w:name w:val="Table Body Text Right"/>
    <w:basedOn w:val="TableBodyText"/>
    <w:rsid w:val="005F3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65D"/>
    <w:rPr>
      <w:sz w:val="18"/>
    </w:rPr>
  </w:style>
  <w:style w:type="paragraph" w:customStyle="1" w:styleId="BodySmallRight">
    <w:name w:val="Body Small Right"/>
    <w:basedOn w:val="BodyTextRight"/>
    <w:rsid w:val="005F365D"/>
    <w:rPr>
      <w:sz w:val="18"/>
      <w:szCs w:val="18"/>
    </w:rPr>
  </w:style>
  <w:style w:type="paragraph" w:customStyle="1" w:styleId="MarginEdition">
    <w:name w:val="Margin Edition"/>
    <w:basedOn w:val="MarginNote"/>
    <w:rsid w:val="005F3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65D"/>
    <w:rPr>
      <w:sz w:val="2"/>
      <w:szCs w:val="2"/>
    </w:rPr>
  </w:style>
  <w:style w:type="character" w:customStyle="1" w:styleId="Small">
    <w:name w:val="Small"/>
    <w:basedOn w:val="DefaultParagraphFont"/>
    <w:rsid w:val="005F365D"/>
    <w:rPr>
      <w:sz w:val="16"/>
    </w:rPr>
  </w:style>
  <w:style w:type="paragraph" w:customStyle="1" w:styleId="WideTable">
    <w:name w:val="Wide Table"/>
    <w:basedOn w:val="Normal"/>
    <w:rsid w:val="005F3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65D"/>
  </w:style>
  <w:style w:type="paragraph" w:styleId="Quote">
    <w:name w:val="Quote"/>
    <w:basedOn w:val="Heading1"/>
    <w:link w:val="QuoteChar"/>
    <w:qFormat/>
    <w:rsid w:val="005F3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65D"/>
    <w:pPr>
      <w:pageBreakBefore/>
    </w:pPr>
  </w:style>
  <w:style w:type="paragraph" w:customStyle="1" w:styleId="Border">
    <w:name w:val="Border"/>
    <w:basedOn w:val="Normal"/>
    <w:qFormat/>
    <w:rsid w:val="005F3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65D"/>
    <w:rPr>
      <w:u w:val="single"/>
    </w:rPr>
  </w:style>
  <w:style w:type="character" w:customStyle="1" w:styleId="BoldandItalics">
    <w:name w:val="Bold and Italics"/>
    <w:qFormat/>
    <w:rsid w:val="005F365D"/>
    <w:rPr>
      <w:b/>
      <w:i/>
      <w:u w:val="none"/>
    </w:rPr>
  </w:style>
  <w:style w:type="paragraph" w:styleId="BalloonText">
    <w:name w:val="Balloon Text"/>
    <w:basedOn w:val="Normal"/>
    <w:link w:val="BalloonTextChar"/>
    <w:rsid w:val="005F3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65D"/>
    <w:pPr>
      <w:spacing w:before="0" w:after="0"/>
    </w:pPr>
  </w:style>
  <w:style w:type="paragraph" w:customStyle="1" w:styleId="BodyTextBold">
    <w:name w:val="Body Text Bold"/>
    <w:basedOn w:val="BodyText"/>
    <w:qFormat/>
    <w:rsid w:val="005F365D"/>
    <w:rPr>
      <w:b/>
    </w:rPr>
  </w:style>
  <w:style w:type="character" w:styleId="Hyperlink">
    <w:name w:val="Hyperlink"/>
    <w:basedOn w:val="DefaultParagraphFont"/>
    <w:uiPriority w:val="99"/>
    <w:unhideWhenUsed/>
    <w:rsid w:val="008F0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3763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HLTPHA025 Apply knowledge of medications used for infections, immunological products and vaccines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