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15F" w:rsidP="00AF515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HLTPHA024 Apply knowledge of central nervous system disorders to dispense medication</w:t>
      </w:r>
      <w:r>
        <w:fldChar w:fldCharType="end"/>
      </w:r>
    </w:p>
    <w:p w:rsidR="00AF515F" w:rsidP="00AF515F">
      <w:pPr>
        <w:pStyle w:val="Version"/>
        <w:sectPr w:rsidSect="00960B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B43" w:rsidP="00960B43">
      <w:pPr>
        <w:pStyle w:val="SuperHeading"/>
      </w:pPr>
      <w:r w:rsidRPr="00960B43">
        <w:t>Assessment Requirements for HLTPHA024 Apply knowledge of central nervous system disorders to dispense medication</w:t>
      </w:r>
    </w:p>
    <w:p w:rsidR="00000000" w:rsidRPr="00960B43" w:rsidP="00960B43">
      <w:pPr>
        <w:pStyle w:val="Heading1"/>
      </w:pPr>
      <w:bookmarkStart w:id="1" w:name="O_1225547"/>
      <w:bookmarkEnd w:id="1"/>
      <w:r w:rsidRPr="00960B43">
        <w:t>Modification History</w:t>
      </w:r>
    </w:p>
    <w:p w:rsidR="00000000" w:rsidRPr="00960B43" w:rsidP="00AF515F">
      <w:pPr>
        <w:pStyle w:val="BodyText"/>
      </w:pPr>
      <w:r w:rsidRPr="00960B43">
        <w:t>Not applicable.</w:t>
      </w:r>
    </w:p>
    <w:p w:rsidR="00000000" w:rsidRPr="00960B43" w:rsidP="00960B43">
      <w:pPr>
        <w:pStyle w:val="Heading1"/>
      </w:pPr>
      <w:bookmarkStart w:id="2" w:name="O_1225548"/>
      <w:bookmarkEnd w:id="2"/>
      <w:r w:rsidRPr="00960B43">
        <w:t>Performance Evidence</w:t>
      </w:r>
    </w:p>
    <w:p w:rsidR="00000000" w:rsidRPr="00960B43" w:rsidP="00AF515F">
      <w:pPr>
        <w:pStyle w:val="BodyText"/>
      </w:pPr>
      <w:r w:rsidRPr="00960B43">
        <w:t>Evidence of the ability to complete tasks outlined in elements and performance criteria of this unit in the context of the job role, and:</w:t>
      </w:r>
    </w:p>
    <w:p w:rsidR="00000000" w:rsidRPr="00960B43" w:rsidP="00960B43">
      <w:pPr>
        <w:pStyle w:val="ListBullet"/>
      </w:pPr>
      <w:r w:rsidRPr="00960B43">
        <w:t>prepare and dispense central nervous system medication to at least 10 patients on separate occasions, including:</w:t>
      </w:r>
    </w:p>
    <w:p w:rsidR="00000000" w:rsidRPr="00960B43" w:rsidP="00960B43">
      <w:pPr>
        <w:pStyle w:val="ListBullet2"/>
      </w:pPr>
      <w:r w:rsidRPr="00960B43">
        <w:t>res</w:t>
      </w:r>
      <w:r w:rsidRPr="00960B43">
        <w:t>earching and sourcing information</w:t>
      </w:r>
    </w:p>
    <w:p w:rsidR="00000000" w:rsidRPr="00960B43" w:rsidP="00960B43">
      <w:pPr>
        <w:pStyle w:val="ListBullet2"/>
      </w:pPr>
      <w:r w:rsidRPr="00960B43">
        <w:t>screening, assessing and providing basic medication discharge information and instructions to patients regarding the use of analgesic medications with a focus on dose timing, frequency and timing in relation to food</w:t>
      </w:r>
    </w:p>
    <w:p w:rsidR="00000000" w:rsidRPr="00960B43" w:rsidP="00960B43">
      <w:pPr>
        <w:pStyle w:val="ListBullet2"/>
      </w:pPr>
      <w:r w:rsidRPr="00960B43">
        <w:t>referr</w:t>
      </w:r>
      <w:r w:rsidRPr="00960B43">
        <w:t>al of enquiries outside scope of own practice to the pharmacist</w:t>
      </w:r>
    </w:p>
    <w:p w:rsidR="00000000" w:rsidRPr="00960B43" w:rsidP="00960B43">
      <w:pPr>
        <w:pStyle w:val="ListBullet2"/>
      </w:pPr>
      <w:r w:rsidRPr="00960B43">
        <w:t>confirmation of medication dispensing with an authorised person</w:t>
      </w:r>
    </w:p>
    <w:p w:rsidR="00000000" w:rsidRPr="00960B43" w:rsidP="00960B43">
      <w:pPr>
        <w:pStyle w:val="ListBullet"/>
      </w:pPr>
      <w:r w:rsidRPr="00960B43">
        <w:t>perform the activities outlined in the performance criteria of this unit during a period of 240 hours of work related to hospit</w:t>
      </w:r>
      <w:r w:rsidRPr="00960B43">
        <w:t>al or health services pharmacy support in a clinical workplace environment. These 240 hours may be applied collectively across all units of competency that include the requirement for workplace hours for the purposes of assessment.</w:t>
      </w:r>
    </w:p>
    <w:p w:rsidR="00000000" w:rsidRPr="00960B43" w:rsidP="00960B43">
      <w:pPr>
        <w:pStyle w:val="AllowPageBreak"/>
      </w:pPr>
    </w:p>
    <w:p w:rsidR="00000000" w:rsidRPr="00960B43" w:rsidP="00960B43">
      <w:pPr>
        <w:pStyle w:val="Heading1"/>
      </w:pPr>
      <w:bookmarkStart w:id="3" w:name="O_1225549"/>
      <w:bookmarkEnd w:id="3"/>
      <w:r w:rsidRPr="00960B43">
        <w:t>Knowl</w:t>
      </w:r>
      <w:r w:rsidRPr="00960B43">
        <w:t>edge Evidence</w:t>
      </w:r>
    </w:p>
    <w:p w:rsidR="00000000" w:rsidRPr="00960B43" w:rsidP="00AF515F">
      <w:pPr>
        <w:pStyle w:val="BodyText"/>
      </w:pPr>
      <w:r w:rsidRPr="00960B43">
        <w:t>Demonstrated knowledge required to complete the tasks outlined in elements and performance criteria of this unit:</w:t>
      </w:r>
    </w:p>
    <w:p w:rsidR="00000000" w:rsidRPr="00960B43" w:rsidP="00960B43">
      <w:pPr>
        <w:pStyle w:val="ListBullet"/>
      </w:pPr>
      <w:r w:rsidRPr="00960B43">
        <w:t>understand the foundations of the central nervous system disorders including:</w:t>
      </w:r>
    </w:p>
    <w:p w:rsidR="00000000" w:rsidRPr="00960B43" w:rsidP="00960B43">
      <w:pPr>
        <w:pStyle w:val="ListBullet2"/>
      </w:pPr>
      <w:r w:rsidRPr="00960B43">
        <w:t>common causes of central nervous system disorders</w:t>
      </w:r>
    </w:p>
    <w:p w:rsidR="00000000" w:rsidRPr="00960B43" w:rsidP="00960B43">
      <w:pPr>
        <w:pStyle w:val="ListBullet2"/>
      </w:pPr>
      <w:r w:rsidRPr="00960B43">
        <w:t>uses and limitations of medication dispensed to patients in the treatment of central nervous system disorders</w:t>
      </w:r>
    </w:p>
    <w:p w:rsidR="00000000" w:rsidRPr="00960B43" w:rsidP="00960B43">
      <w:pPr>
        <w:pStyle w:val="ListBullet2"/>
      </w:pPr>
      <w:r w:rsidRPr="00960B43">
        <w:t xml:space="preserve">common adverse reactions of medicines dispensed to patients in the treatment of central nervous </w:t>
      </w:r>
      <w:r w:rsidRPr="00960B43">
        <w:t>system disorders including:</w:t>
      </w:r>
    </w:p>
    <w:p w:rsidR="00000000" w:rsidRPr="00960B43" w:rsidP="00960B43">
      <w:pPr>
        <w:pStyle w:val="ListBullet3"/>
      </w:pPr>
      <w:r w:rsidRPr="00960B43">
        <w:t>pharmacological and non-pharmacological methods to manage adverse effects</w:t>
      </w:r>
    </w:p>
    <w:p w:rsidR="00000000" w:rsidRPr="00960B43" w:rsidP="00960B43">
      <w:pPr>
        <w:pStyle w:val="ListBullet2"/>
      </w:pPr>
      <w:r w:rsidRPr="00960B43">
        <w:t>conditions or adverse reaction to medication that require referral to a trained health care professional</w:t>
      </w:r>
    </w:p>
    <w:p w:rsidR="00000000" w:rsidRPr="00960B43" w:rsidP="00960B43">
      <w:pPr>
        <w:pStyle w:val="ListBullet2"/>
      </w:pPr>
      <w:r w:rsidRPr="00960B43">
        <w:t>relevant legislation, regulations and ethical codes relating to medication dispensing.</w:t>
      </w:r>
    </w:p>
    <w:p w:rsidR="00000000" w:rsidRPr="00960B43" w:rsidP="00960B43">
      <w:pPr>
        <w:pStyle w:val="ListBullet"/>
      </w:pPr>
      <w:r w:rsidRPr="00960B43">
        <w:t>standard pharmaceutical references, including:</w:t>
      </w:r>
    </w:p>
    <w:p w:rsidR="00000000" w:rsidRPr="00960B43" w:rsidP="00960B43">
      <w:pPr>
        <w:pStyle w:val="ListBullet2"/>
      </w:pPr>
      <w:r w:rsidRPr="00960B43">
        <w:t>Australian Medicines Handbook (AMH)</w:t>
      </w:r>
    </w:p>
    <w:p w:rsidR="00000000" w:rsidRPr="00960B43" w:rsidP="00960B43">
      <w:pPr>
        <w:pStyle w:val="ListBullet2"/>
      </w:pPr>
      <w:r w:rsidRPr="00960B43">
        <w:t>Australian Pharmaceutical Formulary Handbook (APF)</w:t>
      </w:r>
    </w:p>
    <w:p w:rsidR="00000000" w:rsidRPr="00960B43" w:rsidP="00960B43">
      <w:pPr>
        <w:pStyle w:val="ListBullet2"/>
      </w:pPr>
      <w:r w:rsidRPr="00960B43">
        <w:t>Monthly Index of Medical Speciali</w:t>
      </w:r>
      <w:r w:rsidRPr="00960B43">
        <w:t>ties (MIMS) or AusDI Advanced</w:t>
      </w:r>
    </w:p>
    <w:p w:rsidR="00000000" w:rsidRPr="00960B43" w:rsidP="00960B43">
      <w:pPr>
        <w:pStyle w:val="ListBullet2"/>
      </w:pPr>
      <w:r w:rsidRPr="00960B43">
        <w:t>Micromedex</w:t>
      </w:r>
    </w:p>
    <w:p w:rsidR="00000000" w:rsidRPr="00960B43" w:rsidP="00960B43">
      <w:pPr>
        <w:pStyle w:val="ListBullet"/>
      </w:pPr>
      <w:r w:rsidRPr="00960B43">
        <w:t>relevant National, State or Territory regulatory and legislative requirements</w:t>
      </w:r>
    </w:p>
    <w:p w:rsidR="00000000" w:rsidRPr="00960B43" w:rsidP="00960B43">
      <w:pPr>
        <w:pStyle w:val="ListBullet"/>
      </w:pPr>
      <w:r w:rsidRPr="00960B43">
        <w:t>legal responsibilities of providers of health care in relation to confidentiality, patient rights, duty of care and implications of negligence</w:t>
      </w:r>
    </w:p>
    <w:p w:rsidR="00000000" w:rsidRPr="00960B43" w:rsidP="00960B43">
      <w:pPr>
        <w:pStyle w:val="ListBullet"/>
      </w:pPr>
      <w:r w:rsidRPr="00960B43">
        <w:t>limitations of own work role including identification and referring of issues outside scope of practice to an aut</w:t>
      </w:r>
      <w:r w:rsidRPr="00960B43">
        <w:t>horised person</w:t>
      </w:r>
    </w:p>
    <w:p w:rsidR="00000000" w:rsidRPr="00960B43" w:rsidP="00960B43">
      <w:pPr>
        <w:pStyle w:val="ListBullet"/>
      </w:pPr>
      <w:r w:rsidRPr="00960B43">
        <w:t>Work Health and Safety (WHS) policies, guidelines and symbols and their relevance to dispensing medication</w:t>
      </w:r>
    </w:p>
    <w:p w:rsidR="00000000" w:rsidRPr="00960B43" w:rsidP="00960B43">
      <w:pPr>
        <w:pStyle w:val="ListBullet"/>
      </w:pPr>
      <w:r w:rsidRPr="00960B43">
        <w:t>central nervous system medication:</w:t>
      </w:r>
    </w:p>
    <w:p w:rsidR="00000000" w:rsidRPr="00960B43" w:rsidP="00960B43">
      <w:pPr>
        <w:pStyle w:val="ListBullet2"/>
      </w:pPr>
      <w:r w:rsidRPr="00960B43">
        <w:t>fundamental knowledge of the following disease states:</w:t>
      </w:r>
    </w:p>
    <w:p w:rsidR="00000000" w:rsidRPr="00960B43" w:rsidP="00960B43">
      <w:pPr>
        <w:pStyle w:val="ListBullet3"/>
      </w:pPr>
      <w:r w:rsidRPr="00960B43">
        <w:t>Parkinson</w:t>
      </w:r>
      <w:r>
        <w:t>’</w:t>
      </w:r>
      <w:r w:rsidRPr="00960B43">
        <w:t>s disease</w:t>
      </w:r>
    </w:p>
    <w:p w:rsidR="00000000" w:rsidRPr="00960B43" w:rsidP="00960B43">
      <w:pPr>
        <w:pStyle w:val="ListBullet3"/>
      </w:pPr>
      <w:r w:rsidRPr="00960B43">
        <w:t>epilepsy</w:t>
      </w:r>
    </w:p>
    <w:p w:rsidR="00000000" w:rsidRPr="00960B43" w:rsidP="00960B43">
      <w:pPr>
        <w:pStyle w:val="ListBullet3"/>
      </w:pPr>
      <w:r w:rsidRPr="00960B43">
        <w:t>depression and anxiety</w:t>
      </w:r>
    </w:p>
    <w:p w:rsidR="00000000" w:rsidRPr="00960B43" w:rsidP="00960B43">
      <w:pPr>
        <w:pStyle w:val="ListBullet"/>
      </w:pPr>
      <w:r w:rsidRPr="00960B43">
        <w:t>basic pathophysiology</w:t>
      </w:r>
    </w:p>
    <w:p w:rsidR="00000000" w:rsidRPr="00960B43" w:rsidP="00960B43">
      <w:pPr>
        <w:pStyle w:val="ListBullet"/>
      </w:pPr>
      <w:r w:rsidRPr="00960B43">
        <w:t>treatment aims</w:t>
      </w:r>
    </w:p>
    <w:p w:rsidR="00000000" w:rsidRPr="00960B43" w:rsidP="00960B43">
      <w:pPr>
        <w:pStyle w:val="ListBullet"/>
      </w:pPr>
      <w:r w:rsidRPr="00960B43">
        <w:t>impact of the disease state on everyday living or function</w:t>
      </w:r>
    </w:p>
    <w:p w:rsidR="00000000" w:rsidRPr="00960B43" w:rsidP="00960B43">
      <w:pPr>
        <w:pStyle w:val="ListBullet"/>
      </w:pPr>
      <w:r w:rsidRPr="00960B43">
        <w:t>impact of the disease state on medication adherence</w:t>
      </w:r>
    </w:p>
    <w:p w:rsidR="00000000" w:rsidRPr="00960B43" w:rsidP="00960B43">
      <w:pPr>
        <w:pStyle w:val="ListBullet"/>
      </w:pPr>
      <w:r w:rsidRPr="00960B43">
        <w:t>the ability to take medication and strategies to mitigate inability to take medicati</w:t>
      </w:r>
      <w:r w:rsidRPr="00960B43">
        <w:t>on</w:t>
      </w:r>
    </w:p>
    <w:p w:rsidR="00000000" w:rsidRPr="00960B43" w:rsidP="00960B43">
      <w:pPr>
        <w:pStyle w:val="ListBullet"/>
      </w:pPr>
      <w:r w:rsidRPr="00960B43">
        <w:t>practical knowledge of medication used to manage Parkinson</w:t>
      </w:r>
      <w:r>
        <w:t>’</w:t>
      </w:r>
      <w:r w:rsidRPr="00960B43">
        <w:t>s disease, epilepsy, depression and anxiety, including:</w:t>
      </w:r>
    </w:p>
    <w:p w:rsidR="00000000" w:rsidRPr="00960B43" w:rsidP="00960B43">
      <w:pPr>
        <w:pStyle w:val="ListBullet2"/>
      </w:pPr>
      <w:r w:rsidRPr="00960B43">
        <w:t>medication and medication classes used</w:t>
      </w:r>
    </w:p>
    <w:p w:rsidR="00000000" w:rsidRPr="00960B43" w:rsidP="00960B43">
      <w:pPr>
        <w:pStyle w:val="ListBullet2"/>
      </w:pPr>
      <w:r w:rsidRPr="00960B43">
        <w:t>importance of dose timing, frequency and timing in relation to food</w:t>
      </w:r>
    </w:p>
    <w:p w:rsidR="00000000" w:rsidRPr="00960B43" w:rsidP="00960B43">
      <w:pPr>
        <w:pStyle w:val="ListBullet2"/>
      </w:pPr>
      <w:r w:rsidRPr="00960B43">
        <w:t>different formulations available</w:t>
      </w:r>
    </w:p>
    <w:p w:rsidR="00000000" w:rsidRPr="00960B43" w:rsidP="00960B43">
      <w:pPr>
        <w:pStyle w:val="ListBullet2"/>
      </w:pPr>
      <w:r w:rsidRPr="00960B43">
        <w:t>impact of food and other medication</w:t>
      </w:r>
    </w:p>
    <w:p w:rsidR="00000000" w:rsidRPr="00960B43" w:rsidP="00960B43">
      <w:pPr>
        <w:pStyle w:val="ListBullet2"/>
      </w:pPr>
      <w:r w:rsidRPr="00960B43">
        <w:t>medication which require therapeutic drug monitoring (TDM):</w:t>
      </w:r>
    </w:p>
    <w:p w:rsidR="00000000" w:rsidRPr="00960B43" w:rsidP="00960B43">
      <w:pPr>
        <w:pStyle w:val="ListBullet3"/>
      </w:pPr>
      <w:r w:rsidRPr="00960B43">
        <w:t>rationale for TDM</w:t>
      </w:r>
    </w:p>
    <w:p w:rsidR="00000000" w:rsidRPr="00960B43" w:rsidP="00960B43">
      <w:pPr>
        <w:pStyle w:val="ListBullet3"/>
      </w:pPr>
      <w:r w:rsidRPr="00960B43">
        <w:t>timing of TDM in relation to last dose.</w:t>
      </w:r>
    </w:p>
    <w:p w:rsidR="00000000" w:rsidRPr="00960B43" w:rsidP="00960B43">
      <w:pPr>
        <w:pStyle w:val="AllowPageBreak"/>
      </w:pPr>
    </w:p>
    <w:p w:rsidR="00000000" w:rsidRPr="00960B43" w:rsidP="00960B43">
      <w:pPr>
        <w:pStyle w:val="Heading1"/>
      </w:pPr>
      <w:bookmarkStart w:id="4" w:name="O_1225550"/>
      <w:bookmarkEnd w:id="4"/>
      <w:r w:rsidRPr="00960B43">
        <w:t>Assessment Conditions</w:t>
      </w:r>
    </w:p>
    <w:p w:rsidR="00000000" w:rsidRPr="00960B43" w:rsidP="00AF515F">
      <w:pPr>
        <w:pStyle w:val="BodyText"/>
      </w:pPr>
      <w:r w:rsidRPr="00960B43">
        <w:t>Skills must be demonstrated</w:t>
      </w:r>
      <w:r w:rsidRPr="00960B43">
        <w:t xml:space="preserve"> in the workplace with the addition of simulations and scenarios where the full range of contexts and situations have not been provided in the workplace.</w:t>
      </w:r>
    </w:p>
    <w:p w:rsidR="00000000" w:rsidRPr="00960B43" w:rsidP="00AF515F">
      <w:pPr>
        <w:pStyle w:val="BodyText"/>
      </w:pPr>
      <w:r w:rsidRPr="00960B43">
        <w:t>Assessment must ensure access to:</w:t>
      </w:r>
    </w:p>
    <w:p w:rsidR="00000000" w:rsidRPr="00960B43" w:rsidP="00960B43">
      <w:pPr>
        <w:pStyle w:val="ListBullet"/>
      </w:pPr>
      <w:r w:rsidRPr="00960B43">
        <w:t>use of suitable facilities, equipment and resources including acces</w:t>
      </w:r>
      <w:r w:rsidRPr="00960B43">
        <w:t>s to:</w:t>
      </w:r>
    </w:p>
    <w:p w:rsidR="00000000" w:rsidRPr="00960B43" w:rsidP="00960B43">
      <w:pPr>
        <w:pStyle w:val="ListBullet2"/>
      </w:pPr>
      <w:r w:rsidRPr="00960B43">
        <w:t>relevant legislation, regulations and guidelines</w:t>
      </w:r>
    </w:p>
    <w:p w:rsidR="00000000" w:rsidRPr="00960B43" w:rsidP="00960B43">
      <w:pPr>
        <w:pStyle w:val="ListBullet2"/>
      </w:pPr>
      <w:r w:rsidRPr="00960B43">
        <w:t>central nervous system resources and information</w:t>
      </w:r>
    </w:p>
    <w:p w:rsidR="00000000" w:rsidRPr="00960B43" w:rsidP="00960B43">
      <w:pPr>
        <w:pStyle w:val="ListBullet"/>
      </w:pPr>
      <w:r w:rsidRPr="00960B43">
        <w:t>authorised person with whom to consult.</w:t>
      </w:r>
    </w:p>
    <w:p w:rsidR="00000000" w:rsidRPr="00960B43" w:rsidP="00AF515F">
      <w:pPr>
        <w:pStyle w:val="BodyText"/>
      </w:pPr>
      <w:r w:rsidRPr="00960B43">
        <w:t>Assessors must satisfy the Standards for Registered Training Organisations’ requirements for assessors.</w:t>
      </w:r>
    </w:p>
    <w:p w:rsidR="00000000" w:rsidRPr="00960B43" w:rsidP="00960B43">
      <w:pPr>
        <w:pStyle w:val="Heading1"/>
      </w:pPr>
      <w:bookmarkStart w:id="5" w:name="O_1225553"/>
      <w:bookmarkEnd w:id="5"/>
      <w:r w:rsidRPr="00960B43">
        <w:t>Links</w:t>
      </w:r>
    </w:p>
    <w:p w:rsidR="00000000" w:rsidRPr="00960B43" w:rsidP="00AF515F">
      <w:pPr>
        <w:pStyle w:val="BodyText"/>
      </w:pPr>
      <w:r w:rsidRPr="00960B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B428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60B43" w:rsidP="00960B43"/>
    <w:sectPr w:rsidSect="00960B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B43" w:rsidRPr="00AF515F" w:rsidP="00AF515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5F" w:rsidP="00960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15F" w:rsidP="00960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515F" w:rsidP="00960B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B43" w:rsidRPr="00AF515F" w:rsidP="00AF51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5F" w:rsidRPr="002D2AF8" w:rsidP="00960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HLTPHA024 Apply knowledge of central nervous system disorders to dispense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F515F" w:rsidP="00960B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68F5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6E7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0AB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B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B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B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B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B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B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B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B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B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B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B43"/>
  </w:style>
  <w:style w:type="character" w:customStyle="1" w:styleId="Heading1Char">
    <w:name w:val="Heading 1 Char"/>
    <w:basedOn w:val="DefaultParagraphFont"/>
    <w:link w:val="Heading1"/>
    <w:rsid w:val="00960B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B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B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B4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0B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0B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B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0B4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0B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B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B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B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B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B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B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B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B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B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B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B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B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B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B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B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0B43"/>
    <w:rPr>
      <w:b/>
      <w:spacing w:val="0"/>
    </w:rPr>
  </w:style>
  <w:style w:type="paragraph" w:customStyle="1" w:styleId="SuperTitle">
    <w:name w:val="SuperTitle"/>
    <w:basedOn w:val="Title"/>
    <w:rsid w:val="00960B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B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B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0B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B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B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B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B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B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B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B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B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B43"/>
    <w:rPr>
      <w:i/>
    </w:rPr>
  </w:style>
  <w:style w:type="paragraph" w:styleId="Caption">
    <w:name w:val="caption"/>
    <w:basedOn w:val="BodyText"/>
    <w:next w:val="Normal"/>
    <w:qFormat/>
    <w:rsid w:val="00960B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B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B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B43"/>
  </w:style>
  <w:style w:type="paragraph" w:styleId="TableofFigures">
    <w:name w:val="table of figures"/>
    <w:basedOn w:val="Normal"/>
    <w:next w:val="Normal"/>
    <w:semiHidden/>
    <w:rsid w:val="00960B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B4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0B43"/>
    <w:rPr>
      <w:rFonts w:ascii="Wingdings" w:hAnsi="Wingdings"/>
    </w:rPr>
  </w:style>
  <w:style w:type="paragraph" w:customStyle="1" w:styleId="TableHeading">
    <w:name w:val="Table Heading"/>
    <w:basedOn w:val="HeadingBase"/>
    <w:rsid w:val="00960B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B43"/>
    <w:rPr>
      <w:color w:val="0033CC"/>
      <w:u w:val="none"/>
    </w:rPr>
  </w:style>
  <w:style w:type="paragraph" w:customStyle="1" w:styleId="BodyTextRight">
    <w:name w:val="Body Text Right"/>
    <w:basedOn w:val="BodyText"/>
    <w:rsid w:val="00960B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B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B4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B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B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B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B43"/>
    <w:rPr>
      <w:sz w:val="32"/>
    </w:rPr>
  </w:style>
  <w:style w:type="paragraph" w:customStyle="1" w:styleId="HeadingProcedure">
    <w:name w:val="Heading Procedure"/>
    <w:basedOn w:val="HeadingBase"/>
    <w:next w:val="Normal"/>
    <w:rsid w:val="00960B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B43"/>
    <w:pPr>
      <w:spacing w:before="60" w:after="60"/>
    </w:pPr>
  </w:style>
  <w:style w:type="paragraph" w:styleId="ListContinue">
    <w:name w:val="List Continue"/>
    <w:basedOn w:val="List"/>
    <w:rsid w:val="00960B43"/>
    <w:pPr>
      <w:ind w:firstLine="0"/>
    </w:pPr>
  </w:style>
  <w:style w:type="paragraph" w:customStyle="1" w:styleId="ListNote">
    <w:name w:val="List Note"/>
    <w:basedOn w:val="List"/>
    <w:rsid w:val="00960B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B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B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B43"/>
    <w:rPr>
      <w:rFonts w:ascii="Courier New" w:hAnsi="Courier New"/>
    </w:rPr>
  </w:style>
  <w:style w:type="paragraph" w:customStyle="1" w:styleId="NoteBullet">
    <w:name w:val="Note Bullet"/>
    <w:basedOn w:val="Note"/>
    <w:rsid w:val="00960B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B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B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B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B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0B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B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B43"/>
    <w:rPr>
      <w:b/>
      <w:smallCaps/>
    </w:rPr>
  </w:style>
  <w:style w:type="paragraph" w:customStyle="1" w:styleId="TableListNumber">
    <w:name w:val="Table List Number"/>
    <w:basedOn w:val="ListNumber"/>
    <w:rsid w:val="00960B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B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B43"/>
    <w:pPr>
      <w:numPr>
        <w:numId w:val="10"/>
      </w:numPr>
    </w:pPr>
  </w:style>
  <w:style w:type="paragraph" w:customStyle="1" w:styleId="ListAlpha2">
    <w:name w:val="List Alpha 2"/>
    <w:basedOn w:val="List2"/>
    <w:rsid w:val="00960B43"/>
    <w:pPr>
      <w:numPr>
        <w:numId w:val="9"/>
      </w:numPr>
    </w:pPr>
  </w:style>
  <w:style w:type="paragraph" w:styleId="List2">
    <w:name w:val="List 2"/>
    <w:basedOn w:val="BodyText"/>
    <w:rsid w:val="00960B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B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B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B4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0B4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0B43"/>
    <w:pPr>
      <w:numPr>
        <w:numId w:val="5"/>
      </w:numPr>
    </w:pPr>
  </w:style>
  <w:style w:type="paragraph" w:styleId="ListContinue2">
    <w:name w:val="List Continue 2"/>
    <w:basedOn w:val="List2"/>
    <w:rsid w:val="00960B43"/>
    <w:pPr>
      <w:ind w:firstLine="0"/>
    </w:pPr>
  </w:style>
  <w:style w:type="paragraph" w:styleId="ListContinue3">
    <w:name w:val="List Continue 3"/>
    <w:basedOn w:val="List3"/>
    <w:rsid w:val="00960B43"/>
    <w:pPr>
      <w:ind w:left="1021" w:firstLine="0"/>
    </w:pPr>
  </w:style>
  <w:style w:type="paragraph" w:styleId="ListContinue4">
    <w:name w:val="List Continue 4"/>
    <w:basedOn w:val="List4"/>
    <w:rsid w:val="00960B43"/>
    <w:pPr>
      <w:ind w:firstLine="0"/>
    </w:pPr>
  </w:style>
  <w:style w:type="paragraph" w:styleId="ListContinue5">
    <w:name w:val="List Continue 5"/>
    <w:basedOn w:val="List5"/>
    <w:rsid w:val="00960B43"/>
    <w:pPr>
      <w:ind w:firstLine="0"/>
    </w:pPr>
  </w:style>
  <w:style w:type="paragraph" w:styleId="ListNumber3">
    <w:name w:val="List Number 3"/>
    <w:basedOn w:val="List3"/>
    <w:rsid w:val="00960B43"/>
    <w:pPr>
      <w:numPr>
        <w:numId w:val="6"/>
      </w:numPr>
    </w:pPr>
  </w:style>
  <w:style w:type="paragraph" w:styleId="ListNumber4">
    <w:name w:val="List Number 4"/>
    <w:basedOn w:val="List4"/>
    <w:rsid w:val="00960B43"/>
    <w:pPr>
      <w:numPr>
        <w:numId w:val="7"/>
      </w:numPr>
    </w:pPr>
  </w:style>
  <w:style w:type="paragraph" w:styleId="ListNumber5">
    <w:name w:val="List Number 5"/>
    <w:basedOn w:val="List5"/>
    <w:rsid w:val="00960B43"/>
    <w:pPr>
      <w:numPr>
        <w:numId w:val="8"/>
      </w:numPr>
    </w:pPr>
  </w:style>
  <w:style w:type="paragraph" w:styleId="BlockText">
    <w:name w:val="Block Text"/>
    <w:basedOn w:val="Normal"/>
    <w:rsid w:val="00960B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B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B43"/>
    <w:rPr>
      <w:sz w:val="16"/>
      <w:vertAlign w:val="superscript"/>
    </w:rPr>
  </w:style>
  <w:style w:type="character" w:customStyle="1" w:styleId="Symbols">
    <w:name w:val="Symbols"/>
    <w:basedOn w:val="DefaultParagraphFont"/>
    <w:rsid w:val="00960B43"/>
    <w:rPr>
      <w:rFonts w:ascii="Symbol" w:hAnsi="Symbol"/>
    </w:rPr>
  </w:style>
  <w:style w:type="character" w:customStyle="1" w:styleId="MenuOptions">
    <w:name w:val="Menu Options"/>
    <w:basedOn w:val="DefaultParagraphFont"/>
    <w:rsid w:val="00960B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B43"/>
    <w:rPr>
      <w:b/>
    </w:rPr>
  </w:style>
  <w:style w:type="character" w:customStyle="1" w:styleId="Underlined">
    <w:name w:val="Underlined"/>
    <w:basedOn w:val="DefaultParagraphFont"/>
    <w:rsid w:val="00960B43"/>
    <w:rPr>
      <w:u w:val="single"/>
    </w:rPr>
  </w:style>
  <w:style w:type="paragraph" w:customStyle="1" w:styleId="TableBodyTextRight">
    <w:name w:val="Table Body Text Right"/>
    <w:basedOn w:val="TableBodyText"/>
    <w:rsid w:val="00960B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B43"/>
    <w:rPr>
      <w:sz w:val="18"/>
    </w:rPr>
  </w:style>
  <w:style w:type="paragraph" w:customStyle="1" w:styleId="BodySmallRight">
    <w:name w:val="Body Small Right"/>
    <w:basedOn w:val="BodyTextRight"/>
    <w:rsid w:val="00960B43"/>
    <w:rPr>
      <w:sz w:val="18"/>
      <w:szCs w:val="18"/>
    </w:rPr>
  </w:style>
  <w:style w:type="paragraph" w:customStyle="1" w:styleId="MarginEdition">
    <w:name w:val="Margin Edition"/>
    <w:basedOn w:val="MarginNote"/>
    <w:rsid w:val="00960B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B43"/>
    <w:rPr>
      <w:sz w:val="2"/>
      <w:szCs w:val="2"/>
    </w:rPr>
  </w:style>
  <w:style w:type="character" w:customStyle="1" w:styleId="Small">
    <w:name w:val="Small"/>
    <w:basedOn w:val="DefaultParagraphFont"/>
    <w:rsid w:val="00960B43"/>
    <w:rPr>
      <w:sz w:val="16"/>
    </w:rPr>
  </w:style>
  <w:style w:type="paragraph" w:customStyle="1" w:styleId="WideTable">
    <w:name w:val="Wide Table"/>
    <w:basedOn w:val="Normal"/>
    <w:rsid w:val="00960B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B43"/>
  </w:style>
  <w:style w:type="paragraph" w:styleId="Quote">
    <w:name w:val="Quote"/>
    <w:basedOn w:val="Heading1"/>
    <w:link w:val="QuoteChar"/>
    <w:qFormat/>
    <w:rsid w:val="00960B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B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B43"/>
    <w:pPr>
      <w:pageBreakBefore/>
    </w:pPr>
  </w:style>
  <w:style w:type="paragraph" w:customStyle="1" w:styleId="Border">
    <w:name w:val="Border"/>
    <w:basedOn w:val="Normal"/>
    <w:qFormat/>
    <w:rsid w:val="00960B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B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B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B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B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B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B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B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B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B43"/>
    <w:rPr>
      <w:u w:val="single"/>
    </w:rPr>
  </w:style>
  <w:style w:type="character" w:customStyle="1" w:styleId="BoldandItalics">
    <w:name w:val="Bold and Italics"/>
    <w:qFormat/>
    <w:rsid w:val="00960B43"/>
    <w:rPr>
      <w:b/>
      <w:i/>
      <w:u w:val="none"/>
    </w:rPr>
  </w:style>
  <w:style w:type="paragraph" w:styleId="BalloonText">
    <w:name w:val="Balloon Text"/>
    <w:basedOn w:val="Normal"/>
    <w:link w:val="BalloonTextChar"/>
    <w:rsid w:val="00960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B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B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B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B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B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B43"/>
    <w:pPr>
      <w:spacing w:before="0" w:after="0"/>
    </w:pPr>
  </w:style>
  <w:style w:type="paragraph" w:customStyle="1" w:styleId="BodyTextBold">
    <w:name w:val="Body Text Bold"/>
    <w:basedOn w:val="BodyText"/>
    <w:qFormat/>
    <w:rsid w:val="00960B43"/>
    <w:rPr>
      <w:b/>
    </w:rPr>
  </w:style>
  <w:style w:type="character" w:styleId="Hyperlink">
    <w:name w:val="Hyperlink"/>
    <w:basedOn w:val="DefaultParagraphFont"/>
    <w:uiPriority w:val="99"/>
    <w:unhideWhenUsed/>
    <w:rsid w:val="00AF5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3795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HLTPHA024 Apply knowledge of central nervous system disorders to dispense medication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2023-07-02T02:45:00Z</dcterms:created>
  <dcterms:modified xsi:type="dcterms:W3CDTF">2023-07-02T02:45:00Z</dcterms:modified>
</cp:coreProperties>
</file>