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E71" w:rsidP="008A7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HLTPHA020 Apply knowledge of biological principles within the pharmacy environment</w:t>
      </w:r>
      <w:r>
        <w:fldChar w:fldCharType="end"/>
      </w:r>
    </w:p>
    <w:p w:rsidR="008A7E71" w:rsidP="008A7E71">
      <w:pPr>
        <w:pStyle w:val="Version"/>
        <w:sectPr w:rsidSect="00621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789" w:rsidP="00621789">
      <w:pPr>
        <w:pStyle w:val="SuperHeading"/>
      </w:pPr>
      <w:r w:rsidRPr="00621789">
        <w:t>Assessment Requirements for HLTPHA020 Apply knowledge of biological principles within the pharmacy environment</w:t>
      </w:r>
    </w:p>
    <w:p w:rsidR="00000000" w:rsidRPr="00621789" w:rsidP="00621789">
      <w:pPr>
        <w:pStyle w:val="Heading1"/>
      </w:pPr>
      <w:bookmarkStart w:id="1" w:name="O_1225471"/>
      <w:bookmarkEnd w:id="1"/>
      <w:r w:rsidRPr="00621789">
        <w:t>Modification History</w:t>
      </w:r>
    </w:p>
    <w:p w:rsidR="00000000" w:rsidRPr="00621789" w:rsidP="008A7E71">
      <w:pPr>
        <w:pStyle w:val="BodyText"/>
      </w:pPr>
      <w:r w:rsidRPr="00621789">
        <w:t>Not applicable.</w:t>
      </w:r>
    </w:p>
    <w:p w:rsidR="00000000" w:rsidRPr="00621789" w:rsidP="00621789">
      <w:pPr>
        <w:pStyle w:val="Heading1"/>
      </w:pPr>
      <w:bookmarkStart w:id="2" w:name="O_1225472"/>
      <w:bookmarkEnd w:id="2"/>
      <w:r w:rsidRPr="00621789">
        <w:t>Performance Evidence</w:t>
      </w:r>
    </w:p>
    <w:p w:rsidR="00000000" w:rsidRPr="00621789" w:rsidP="008A7E71">
      <w:pPr>
        <w:pStyle w:val="BodyText"/>
      </w:pPr>
      <w:r w:rsidRPr="00621789">
        <w:t>Evidence of the ability to complete tasks outlined in elements and performance criteria of this unit in the context of the job role, and</w:t>
      </w:r>
    </w:p>
    <w:p w:rsidR="00000000" w:rsidRPr="00621789" w:rsidP="00621789">
      <w:pPr>
        <w:pStyle w:val="ListBullet"/>
      </w:pPr>
      <w:r w:rsidRPr="00621789">
        <w:t>provide relevant biological information to patients on at least 4 occasions, including:</w:t>
      </w:r>
    </w:p>
    <w:p w:rsidR="00000000" w:rsidRPr="00621789" w:rsidP="00621789">
      <w:pPr>
        <w:pStyle w:val="ListBullet2"/>
      </w:pPr>
      <w:r w:rsidRPr="00621789">
        <w:t>conveying relevant informatio</w:t>
      </w:r>
      <w:r w:rsidRPr="00621789">
        <w:t>n about:</w:t>
      </w:r>
    </w:p>
    <w:p w:rsidR="00000000" w:rsidRPr="00621789" w:rsidP="00621789">
      <w:pPr>
        <w:pStyle w:val="ListBullet3"/>
      </w:pPr>
      <w:r w:rsidRPr="00621789">
        <w:t>basic human biology</w:t>
      </w:r>
    </w:p>
    <w:p w:rsidR="00000000" w:rsidRPr="00621789" w:rsidP="00621789">
      <w:pPr>
        <w:pStyle w:val="ListBullet3"/>
      </w:pPr>
      <w:r w:rsidRPr="00621789">
        <w:t>basic function of carbohydrates, lipids and proteins</w:t>
      </w:r>
    </w:p>
    <w:p w:rsidR="00000000" w:rsidRPr="00621789" w:rsidP="00621789">
      <w:pPr>
        <w:pStyle w:val="ListBullet3"/>
      </w:pPr>
      <w:r w:rsidRPr="00621789">
        <w:t>functions of enzymes</w:t>
      </w:r>
    </w:p>
    <w:p w:rsidR="00000000" w:rsidRPr="00621789" w:rsidP="00621789">
      <w:pPr>
        <w:pStyle w:val="ListBullet3"/>
      </w:pPr>
      <w:r w:rsidRPr="00621789">
        <w:t>functions of nucleic acids</w:t>
      </w:r>
    </w:p>
    <w:p w:rsidR="00000000" w:rsidRPr="00621789" w:rsidP="00621789">
      <w:pPr>
        <w:pStyle w:val="ListBullet3"/>
      </w:pPr>
      <w:r w:rsidRPr="00621789">
        <w:t>the biological significance of water on the human body.</w:t>
      </w:r>
    </w:p>
    <w:p w:rsidR="00000000" w:rsidRPr="00621789" w:rsidP="00621789">
      <w:pPr>
        <w:pStyle w:val="AllowPageBreak"/>
      </w:pPr>
    </w:p>
    <w:p w:rsidR="00000000" w:rsidRPr="00621789" w:rsidP="00621789">
      <w:pPr>
        <w:pStyle w:val="Heading1"/>
      </w:pPr>
      <w:bookmarkStart w:id="3" w:name="O_1225473"/>
      <w:bookmarkEnd w:id="3"/>
      <w:r w:rsidRPr="00621789">
        <w:t>Knowledge Evidence</w:t>
      </w:r>
    </w:p>
    <w:p w:rsidR="00000000" w:rsidRPr="00621789" w:rsidP="008A7E71">
      <w:pPr>
        <w:pStyle w:val="BodyText"/>
      </w:pPr>
      <w:r w:rsidRPr="00621789">
        <w:t>Demonstrated knowledge required to complete the tasks outlined in elements and performance criteria of this unit:</w:t>
      </w:r>
    </w:p>
    <w:p w:rsidR="00000000" w:rsidRPr="00621789" w:rsidP="00621789">
      <w:pPr>
        <w:pStyle w:val="ListBullet"/>
      </w:pPr>
      <w:r w:rsidRPr="00621789">
        <w:t>basic human biology, including:</w:t>
      </w:r>
    </w:p>
    <w:p w:rsidR="00000000" w:rsidRPr="00621789" w:rsidP="00621789">
      <w:pPr>
        <w:pStyle w:val="ListBullet2"/>
      </w:pPr>
      <w:r w:rsidRPr="00621789">
        <w:t>human organs and systems:</w:t>
      </w:r>
    </w:p>
    <w:p w:rsidR="00000000" w:rsidRPr="00621789" w:rsidP="00621789">
      <w:pPr>
        <w:pStyle w:val="ListBullet3"/>
      </w:pPr>
      <w:r w:rsidRPr="00621789">
        <w:t>the functions of the sensory organs</w:t>
      </w:r>
    </w:p>
    <w:p w:rsidR="00000000" w:rsidRPr="00621789" w:rsidP="00621789">
      <w:pPr>
        <w:pStyle w:val="ListBullet3"/>
      </w:pPr>
      <w:r w:rsidRPr="00621789">
        <w:t>the functions of the musculoskeletal, cardiovascular, respiratory, nervous, endocrine and genito-urinary and lymphatic systems</w:t>
      </w:r>
    </w:p>
    <w:p w:rsidR="00000000" w:rsidRPr="00621789" w:rsidP="00621789">
      <w:pPr>
        <w:pStyle w:val="ListBullet"/>
      </w:pPr>
      <w:r w:rsidRPr="00621789">
        <w:t>functions of carbohydrates, lipids and proteins</w:t>
      </w:r>
    </w:p>
    <w:p w:rsidR="00000000" w:rsidRPr="00621789" w:rsidP="00621789">
      <w:pPr>
        <w:pStyle w:val="ListBullet"/>
      </w:pPr>
      <w:r w:rsidRPr="00621789">
        <w:t>functions of enzymes</w:t>
      </w:r>
    </w:p>
    <w:p w:rsidR="00000000" w:rsidRPr="00621789" w:rsidP="00621789">
      <w:pPr>
        <w:pStyle w:val="ListBullet"/>
      </w:pPr>
      <w:r w:rsidRPr="00621789">
        <w:t>functions of nucleic acids:</w:t>
      </w:r>
    </w:p>
    <w:p w:rsidR="00000000" w:rsidRPr="00621789" w:rsidP="00621789">
      <w:pPr>
        <w:pStyle w:val="ListBullet2"/>
      </w:pPr>
      <w:r w:rsidRPr="00621789">
        <w:t>the biological significance of</w:t>
      </w:r>
      <w:r w:rsidRPr="00621789">
        <w:t xml:space="preserve"> water on the human body</w:t>
      </w:r>
    </w:p>
    <w:p w:rsidR="00000000" w:rsidRPr="00621789" w:rsidP="00621789">
      <w:pPr>
        <w:pStyle w:val="ListBullet2"/>
      </w:pPr>
      <w:r w:rsidRPr="00621789">
        <w:t>scope of role in terms of information provision to patients</w:t>
      </w:r>
    </w:p>
    <w:p w:rsidR="00000000" w:rsidRPr="00621789" w:rsidP="00621789">
      <w:pPr>
        <w:pStyle w:val="ListBullet2"/>
      </w:pPr>
      <w:r w:rsidRPr="00621789">
        <w:t>effective patient communication principles and processes</w:t>
      </w:r>
    </w:p>
    <w:p w:rsidR="00000000" w:rsidRPr="00621789" w:rsidP="00621789">
      <w:pPr>
        <w:pStyle w:val="ListBullet"/>
      </w:pPr>
      <w:r w:rsidRPr="00621789">
        <w:t>National, State or Territory legal and ethical requirements including:</w:t>
      </w:r>
    </w:p>
    <w:p w:rsidR="00000000" w:rsidRPr="00621789" w:rsidP="00621789">
      <w:pPr>
        <w:pStyle w:val="ListBullet2"/>
      </w:pPr>
      <w:r w:rsidRPr="00621789">
        <w:t>codes of conduct</w:t>
      </w:r>
    </w:p>
    <w:p w:rsidR="00000000" w:rsidRPr="00621789" w:rsidP="00621789">
      <w:pPr>
        <w:pStyle w:val="ListBullet2"/>
      </w:pPr>
      <w:r w:rsidRPr="00621789">
        <w:t>duty of care and implications of negligence</w:t>
      </w:r>
    </w:p>
    <w:p w:rsidR="00000000" w:rsidRPr="00621789" w:rsidP="00621789">
      <w:pPr>
        <w:pStyle w:val="ListBullet2"/>
      </w:pPr>
      <w:r w:rsidRPr="00621789">
        <w:t>privacy, confidentiality and disclosure</w:t>
      </w:r>
    </w:p>
    <w:p w:rsidR="00000000" w:rsidRPr="00621789" w:rsidP="00621789">
      <w:pPr>
        <w:pStyle w:val="ListBullet2"/>
      </w:pPr>
      <w:r w:rsidRPr="00621789">
        <w:t>records management</w:t>
      </w:r>
    </w:p>
    <w:p w:rsidR="00000000" w:rsidRPr="00621789" w:rsidP="00621789">
      <w:pPr>
        <w:pStyle w:val="ListBullet2"/>
      </w:pPr>
      <w:r w:rsidRPr="00621789">
        <w:t>rights and responsibilities of workers, employers and patients</w:t>
      </w:r>
    </w:p>
    <w:p w:rsidR="00000000" w:rsidRPr="00621789" w:rsidP="00621789">
      <w:pPr>
        <w:pStyle w:val="ListBullet"/>
      </w:pPr>
      <w:r w:rsidRPr="00621789">
        <w:t>specific legislation:</w:t>
      </w:r>
    </w:p>
    <w:p w:rsidR="00000000" w:rsidRPr="00621789" w:rsidP="00621789">
      <w:pPr>
        <w:pStyle w:val="ListBullet2"/>
      </w:pPr>
      <w:r w:rsidRPr="00621789">
        <w:t>the practice of pharmacy</w:t>
      </w:r>
    </w:p>
    <w:p w:rsidR="00000000" w:rsidRPr="00621789" w:rsidP="00621789">
      <w:pPr>
        <w:pStyle w:val="ListBullet2"/>
      </w:pPr>
      <w:r w:rsidRPr="00621789">
        <w:t>work role boundaries including responsibi</w:t>
      </w:r>
      <w:r w:rsidRPr="00621789">
        <w:t>lities and limitations</w:t>
      </w:r>
    </w:p>
    <w:p w:rsidR="00000000" w:rsidRPr="00621789" w:rsidP="00621789">
      <w:pPr>
        <w:pStyle w:val="ListBullet2"/>
      </w:pPr>
      <w:r w:rsidRPr="00621789">
        <w:t>work health and safety</w:t>
      </w:r>
    </w:p>
    <w:p w:rsidR="00000000" w:rsidRPr="00621789" w:rsidP="00621789">
      <w:pPr>
        <w:pStyle w:val="ListBullet"/>
      </w:pPr>
      <w:r w:rsidRPr="00621789">
        <w:t>key information in standard pharmaceutical references and their use by pharmacy assistants, including:</w:t>
      </w:r>
    </w:p>
    <w:p w:rsidR="00000000" w:rsidRPr="00621789" w:rsidP="00621789">
      <w:pPr>
        <w:pStyle w:val="ListBullet2"/>
      </w:pPr>
      <w:r w:rsidRPr="00621789">
        <w:t>Australian Pharmaceutical Formulary Handbook (APF)</w:t>
      </w:r>
    </w:p>
    <w:p w:rsidR="00000000" w:rsidRPr="00621789" w:rsidP="00621789">
      <w:pPr>
        <w:pStyle w:val="ListBullet2"/>
      </w:pPr>
      <w:r w:rsidRPr="00621789">
        <w:t xml:space="preserve">Monthly Index of Medical Specialities (MIMS) or AusDI </w:t>
      </w:r>
      <w:r w:rsidRPr="00621789">
        <w:t>Advanced</w:t>
      </w:r>
    </w:p>
    <w:p w:rsidR="00000000" w:rsidRPr="00621789" w:rsidP="00621789">
      <w:pPr>
        <w:pStyle w:val="ListBullet2"/>
      </w:pPr>
      <w:r w:rsidRPr="00621789">
        <w:t>Micromedex</w:t>
      </w:r>
    </w:p>
    <w:p w:rsidR="00000000" w:rsidRPr="00621789" w:rsidP="00621789">
      <w:pPr>
        <w:pStyle w:val="ListBullet2"/>
      </w:pPr>
      <w:r w:rsidRPr="00621789">
        <w:t>Australian Medicines Handbook (AMH)</w:t>
      </w:r>
    </w:p>
    <w:p w:rsidR="00000000" w:rsidRPr="00621789" w:rsidP="00621789">
      <w:pPr>
        <w:pStyle w:val="ListBullet"/>
      </w:pPr>
      <w:r w:rsidRPr="00621789">
        <w:t>legal responsibilities of providers of health care in relation to confidentiality, patient rights, duty of care and implications of negligence</w:t>
      </w:r>
    </w:p>
    <w:p w:rsidR="00000000" w:rsidRPr="00621789" w:rsidP="00621789">
      <w:pPr>
        <w:pStyle w:val="ListBullet"/>
      </w:pPr>
      <w:r w:rsidRPr="00621789">
        <w:t>limitations of own work role including identification and referring of issues outside scope of practice to an authorised person.</w:t>
      </w:r>
    </w:p>
    <w:p w:rsidR="00000000" w:rsidRPr="00621789" w:rsidP="00621789">
      <w:pPr>
        <w:pStyle w:val="AllowPageBreak"/>
      </w:pPr>
    </w:p>
    <w:p w:rsidR="00000000" w:rsidRPr="00621789" w:rsidP="00621789">
      <w:pPr>
        <w:pStyle w:val="Heading1"/>
      </w:pPr>
      <w:bookmarkStart w:id="4" w:name="O_1225474"/>
      <w:bookmarkEnd w:id="4"/>
      <w:r w:rsidRPr="00621789">
        <w:t>Assessment Conditions</w:t>
      </w:r>
    </w:p>
    <w:p w:rsidR="00000000" w:rsidRPr="00621789" w:rsidP="008A7E71">
      <w:pPr>
        <w:pStyle w:val="BodyText"/>
      </w:pPr>
      <w:r w:rsidRPr="00621789">
        <w:t>Skills must be demonstrated in the workplace or in a simulated environment that reflec</w:t>
      </w:r>
      <w:r w:rsidRPr="00621789">
        <w:t>ts workplace conditions:</w:t>
      </w:r>
    </w:p>
    <w:p w:rsidR="00000000" w:rsidRPr="00621789" w:rsidP="008A7E71">
      <w:pPr>
        <w:pStyle w:val="BodyText"/>
      </w:pPr>
      <w:r w:rsidRPr="00621789">
        <w:t>Assessment must ensure access to:</w:t>
      </w:r>
    </w:p>
    <w:p w:rsidR="00000000" w:rsidRPr="00621789" w:rsidP="00621789">
      <w:pPr>
        <w:pStyle w:val="ListBullet"/>
      </w:pPr>
      <w:r w:rsidRPr="00621789">
        <w:t>use of suitable research resources:</w:t>
      </w:r>
    </w:p>
    <w:p w:rsidR="00000000" w:rsidRPr="00621789" w:rsidP="00621789">
      <w:pPr>
        <w:pStyle w:val="ListBullet2"/>
      </w:pPr>
      <w:r w:rsidRPr="00621789">
        <w:t>relevant legislation, regulations and guidelines</w:t>
      </w:r>
    </w:p>
    <w:p w:rsidR="00000000" w:rsidRPr="00621789" w:rsidP="00621789">
      <w:pPr>
        <w:pStyle w:val="ListBullet2"/>
      </w:pPr>
      <w:r w:rsidRPr="00621789">
        <w:t>biological and physiological resources</w:t>
      </w:r>
    </w:p>
    <w:p w:rsidR="00000000" w:rsidRPr="00621789" w:rsidP="00621789">
      <w:pPr>
        <w:pStyle w:val="ListBullet"/>
      </w:pPr>
      <w:r w:rsidRPr="00621789">
        <w:t>modelling of industry operating conditions, including time constraints</w:t>
      </w:r>
      <w:r w:rsidRPr="00621789">
        <w:t xml:space="preserve"> for completing activities</w:t>
      </w:r>
    </w:p>
    <w:p w:rsidR="00000000" w:rsidRPr="00621789" w:rsidP="00621789">
      <w:pPr>
        <w:pStyle w:val="ListBullet"/>
      </w:pPr>
      <w:r w:rsidRPr="00621789">
        <w:t>authorised person with whom to consult.</w:t>
      </w:r>
    </w:p>
    <w:p w:rsidR="00000000" w:rsidRPr="00621789" w:rsidP="008A7E71">
      <w:pPr>
        <w:pStyle w:val="BodyText"/>
      </w:pPr>
      <w:r w:rsidRPr="00621789">
        <w:t>Assessors must satisfy the Standards for Registered Training Organisations’ requirements for assessors.</w:t>
      </w:r>
    </w:p>
    <w:p w:rsidR="00000000" w:rsidRPr="00621789" w:rsidP="00621789">
      <w:pPr>
        <w:pStyle w:val="Heading1"/>
      </w:pPr>
      <w:bookmarkStart w:id="5" w:name="O_1225477"/>
      <w:bookmarkEnd w:id="5"/>
      <w:r w:rsidRPr="00621789">
        <w:t>Links</w:t>
      </w:r>
    </w:p>
    <w:p w:rsidR="00000000" w:rsidRPr="00621789" w:rsidP="008A7E71">
      <w:pPr>
        <w:pStyle w:val="BodyText"/>
      </w:pPr>
      <w:r w:rsidRPr="006217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31F4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21789" w:rsidP="00621789"/>
    <w:sectPr w:rsidSect="006217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89" w:rsidRPr="008A7E71" w:rsidP="008A7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71" w:rsidP="00621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7E71" w:rsidP="00621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7E71" w:rsidP="00621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789" w:rsidRPr="008A7E71" w:rsidP="008A7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71" w:rsidRPr="002D2AF8" w:rsidP="00621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HLTPHA020 Apply knowledge of biological principles within the pharmacy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A7E71" w:rsidP="00621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0487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EA3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1481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789"/>
  </w:style>
  <w:style w:type="character" w:customStyle="1" w:styleId="Heading1Char">
    <w:name w:val="Heading 1 Char"/>
    <w:basedOn w:val="DefaultParagraphFont"/>
    <w:link w:val="Heading1"/>
    <w:rsid w:val="00621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78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17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1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178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21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1789"/>
    <w:rPr>
      <w:b/>
      <w:spacing w:val="0"/>
    </w:rPr>
  </w:style>
  <w:style w:type="paragraph" w:customStyle="1" w:styleId="SuperTitle">
    <w:name w:val="SuperTitle"/>
    <w:basedOn w:val="Title"/>
    <w:rsid w:val="00621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7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789"/>
    <w:rPr>
      <w:i/>
    </w:rPr>
  </w:style>
  <w:style w:type="paragraph" w:styleId="Caption">
    <w:name w:val="caption"/>
    <w:basedOn w:val="BodyText"/>
    <w:next w:val="Normal"/>
    <w:qFormat/>
    <w:rsid w:val="00621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789"/>
  </w:style>
  <w:style w:type="paragraph" w:styleId="TableofFigures">
    <w:name w:val="table of figures"/>
    <w:basedOn w:val="Normal"/>
    <w:next w:val="Normal"/>
    <w:semiHidden/>
    <w:rsid w:val="00621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7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21789"/>
    <w:rPr>
      <w:rFonts w:ascii="Wingdings" w:hAnsi="Wingdings"/>
    </w:rPr>
  </w:style>
  <w:style w:type="paragraph" w:customStyle="1" w:styleId="TableHeading">
    <w:name w:val="Table Heading"/>
    <w:basedOn w:val="HeadingBase"/>
    <w:rsid w:val="00621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789"/>
    <w:rPr>
      <w:color w:val="0033CC"/>
      <w:u w:val="none"/>
    </w:rPr>
  </w:style>
  <w:style w:type="paragraph" w:customStyle="1" w:styleId="BodyTextRight">
    <w:name w:val="Body Text Right"/>
    <w:basedOn w:val="BodyText"/>
    <w:rsid w:val="00621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7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789"/>
    <w:rPr>
      <w:sz w:val="32"/>
    </w:rPr>
  </w:style>
  <w:style w:type="paragraph" w:customStyle="1" w:styleId="HeadingProcedure">
    <w:name w:val="Heading Procedure"/>
    <w:basedOn w:val="HeadingBase"/>
    <w:next w:val="Normal"/>
    <w:rsid w:val="00621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789"/>
    <w:pPr>
      <w:spacing w:before="60" w:after="60"/>
    </w:pPr>
  </w:style>
  <w:style w:type="paragraph" w:styleId="ListContinue">
    <w:name w:val="List Continue"/>
    <w:basedOn w:val="List"/>
    <w:rsid w:val="00621789"/>
    <w:pPr>
      <w:ind w:firstLine="0"/>
    </w:pPr>
  </w:style>
  <w:style w:type="paragraph" w:customStyle="1" w:styleId="ListNote">
    <w:name w:val="List Note"/>
    <w:basedOn w:val="List"/>
    <w:rsid w:val="00621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789"/>
    <w:rPr>
      <w:rFonts w:ascii="Courier New" w:hAnsi="Courier New"/>
    </w:rPr>
  </w:style>
  <w:style w:type="paragraph" w:customStyle="1" w:styleId="NoteBullet">
    <w:name w:val="Note Bullet"/>
    <w:basedOn w:val="Note"/>
    <w:rsid w:val="00621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7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1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789"/>
    <w:rPr>
      <w:b/>
      <w:smallCaps/>
    </w:rPr>
  </w:style>
  <w:style w:type="paragraph" w:customStyle="1" w:styleId="TableListNumber">
    <w:name w:val="Table List Number"/>
    <w:basedOn w:val="ListNumber"/>
    <w:rsid w:val="00621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789"/>
    <w:pPr>
      <w:numPr>
        <w:numId w:val="10"/>
      </w:numPr>
    </w:pPr>
  </w:style>
  <w:style w:type="paragraph" w:customStyle="1" w:styleId="ListAlpha2">
    <w:name w:val="List Alpha 2"/>
    <w:basedOn w:val="List2"/>
    <w:rsid w:val="00621789"/>
    <w:pPr>
      <w:numPr>
        <w:numId w:val="9"/>
      </w:numPr>
    </w:pPr>
  </w:style>
  <w:style w:type="paragraph" w:styleId="List2">
    <w:name w:val="List 2"/>
    <w:basedOn w:val="BodyText"/>
    <w:rsid w:val="00621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7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17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21789"/>
    <w:pPr>
      <w:numPr>
        <w:numId w:val="5"/>
      </w:numPr>
    </w:pPr>
  </w:style>
  <w:style w:type="paragraph" w:styleId="ListContinue2">
    <w:name w:val="List Continue 2"/>
    <w:basedOn w:val="List2"/>
    <w:rsid w:val="00621789"/>
    <w:pPr>
      <w:ind w:firstLine="0"/>
    </w:pPr>
  </w:style>
  <w:style w:type="paragraph" w:styleId="ListContinue3">
    <w:name w:val="List Continue 3"/>
    <w:basedOn w:val="List3"/>
    <w:rsid w:val="00621789"/>
    <w:pPr>
      <w:ind w:left="1021" w:firstLine="0"/>
    </w:pPr>
  </w:style>
  <w:style w:type="paragraph" w:styleId="ListContinue4">
    <w:name w:val="List Continue 4"/>
    <w:basedOn w:val="List4"/>
    <w:rsid w:val="00621789"/>
    <w:pPr>
      <w:ind w:firstLine="0"/>
    </w:pPr>
  </w:style>
  <w:style w:type="paragraph" w:styleId="ListContinue5">
    <w:name w:val="List Continue 5"/>
    <w:basedOn w:val="List5"/>
    <w:rsid w:val="00621789"/>
    <w:pPr>
      <w:ind w:firstLine="0"/>
    </w:pPr>
  </w:style>
  <w:style w:type="paragraph" w:styleId="ListNumber3">
    <w:name w:val="List Number 3"/>
    <w:basedOn w:val="List3"/>
    <w:rsid w:val="00621789"/>
    <w:pPr>
      <w:numPr>
        <w:numId w:val="6"/>
      </w:numPr>
    </w:pPr>
  </w:style>
  <w:style w:type="paragraph" w:styleId="ListNumber4">
    <w:name w:val="List Number 4"/>
    <w:basedOn w:val="List4"/>
    <w:rsid w:val="00621789"/>
    <w:pPr>
      <w:numPr>
        <w:numId w:val="7"/>
      </w:numPr>
    </w:pPr>
  </w:style>
  <w:style w:type="paragraph" w:styleId="ListNumber5">
    <w:name w:val="List Number 5"/>
    <w:basedOn w:val="List5"/>
    <w:rsid w:val="00621789"/>
    <w:pPr>
      <w:numPr>
        <w:numId w:val="8"/>
      </w:numPr>
    </w:pPr>
  </w:style>
  <w:style w:type="paragraph" w:styleId="BlockText">
    <w:name w:val="Block Text"/>
    <w:basedOn w:val="Normal"/>
    <w:rsid w:val="00621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789"/>
    <w:rPr>
      <w:sz w:val="16"/>
      <w:vertAlign w:val="superscript"/>
    </w:rPr>
  </w:style>
  <w:style w:type="character" w:customStyle="1" w:styleId="Symbols">
    <w:name w:val="Symbols"/>
    <w:basedOn w:val="DefaultParagraphFont"/>
    <w:rsid w:val="00621789"/>
    <w:rPr>
      <w:rFonts w:ascii="Symbol" w:hAnsi="Symbol"/>
    </w:rPr>
  </w:style>
  <w:style w:type="character" w:customStyle="1" w:styleId="MenuOptions">
    <w:name w:val="Menu Options"/>
    <w:basedOn w:val="DefaultParagraphFont"/>
    <w:rsid w:val="00621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789"/>
    <w:rPr>
      <w:b/>
    </w:rPr>
  </w:style>
  <w:style w:type="character" w:customStyle="1" w:styleId="Underlined">
    <w:name w:val="Underlined"/>
    <w:basedOn w:val="DefaultParagraphFont"/>
    <w:rsid w:val="00621789"/>
    <w:rPr>
      <w:u w:val="single"/>
    </w:rPr>
  </w:style>
  <w:style w:type="paragraph" w:customStyle="1" w:styleId="TableBodyTextRight">
    <w:name w:val="Table Body Text Right"/>
    <w:basedOn w:val="TableBodyText"/>
    <w:rsid w:val="00621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789"/>
    <w:rPr>
      <w:sz w:val="18"/>
    </w:rPr>
  </w:style>
  <w:style w:type="paragraph" w:customStyle="1" w:styleId="BodySmallRight">
    <w:name w:val="Body Small Right"/>
    <w:basedOn w:val="BodyTextRight"/>
    <w:rsid w:val="00621789"/>
    <w:rPr>
      <w:sz w:val="18"/>
      <w:szCs w:val="18"/>
    </w:rPr>
  </w:style>
  <w:style w:type="paragraph" w:customStyle="1" w:styleId="MarginEdition">
    <w:name w:val="Margin Edition"/>
    <w:basedOn w:val="MarginNote"/>
    <w:rsid w:val="00621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789"/>
    <w:rPr>
      <w:sz w:val="2"/>
      <w:szCs w:val="2"/>
    </w:rPr>
  </w:style>
  <w:style w:type="character" w:customStyle="1" w:styleId="Small">
    <w:name w:val="Small"/>
    <w:basedOn w:val="DefaultParagraphFont"/>
    <w:rsid w:val="00621789"/>
    <w:rPr>
      <w:sz w:val="16"/>
    </w:rPr>
  </w:style>
  <w:style w:type="paragraph" w:customStyle="1" w:styleId="WideTable">
    <w:name w:val="Wide Table"/>
    <w:basedOn w:val="Normal"/>
    <w:rsid w:val="00621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789"/>
  </w:style>
  <w:style w:type="paragraph" w:styleId="Quote">
    <w:name w:val="Quote"/>
    <w:basedOn w:val="Heading1"/>
    <w:link w:val="QuoteChar"/>
    <w:qFormat/>
    <w:rsid w:val="00621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789"/>
    <w:pPr>
      <w:pageBreakBefore/>
    </w:pPr>
  </w:style>
  <w:style w:type="paragraph" w:customStyle="1" w:styleId="Border">
    <w:name w:val="Border"/>
    <w:basedOn w:val="Normal"/>
    <w:qFormat/>
    <w:rsid w:val="00621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789"/>
    <w:rPr>
      <w:u w:val="single"/>
    </w:rPr>
  </w:style>
  <w:style w:type="character" w:customStyle="1" w:styleId="BoldandItalics">
    <w:name w:val="Bold and Italics"/>
    <w:qFormat/>
    <w:rsid w:val="00621789"/>
    <w:rPr>
      <w:b/>
      <w:i/>
      <w:u w:val="none"/>
    </w:rPr>
  </w:style>
  <w:style w:type="paragraph" w:styleId="BalloonText">
    <w:name w:val="Balloon Text"/>
    <w:basedOn w:val="Normal"/>
    <w:link w:val="BalloonTextChar"/>
    <w:rsid w:val="00621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789"/>
    <w:pPr>
      <w:spacing w:before="0" w:after="0"/>
    </w:pPr>
  </w:style>
  <w:style w:type="paragraph" w:customStyle="1" w:styleId="BodyTextBold">
    <w:name w:val="Body Text Bold"/>
    <w:basedOn w:val="BodyText"/>
    <w:qFormat/>
    <w:rsid w:val="00621789"/>
    <w:rPr>
      <w:b/>
    </w:rPr>
  </w:style>
  <w:style w:type="character" w:styleId="Hyperlink">
    <w:name w:val="Hyperlink"/>
    <w:basedOn w:val="DefaultParagraphFont"/>
    <w:uiPriority w:val="99"/>
    <w:unhideWhenUsed/>
    <w:rsid w:val="008A7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2736</Characters>
  <Application>Microsoft Office Word</Application>
  <DocSecurity>0</DocSecurity>
  <Lines>76</Lines>
  <Paragraphs>63</Paragraphs>
  <ScaleCrop>false</ScaleCrop>
  <Company>Author-it Software Corporation Ltd.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HLTPHA020 Apply knowledge of biological principles within the pharmacy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