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9DD" w:rsidP="005429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HLTPHA019 Coordinate communication processes in a hospital or health services pharmacy setting</w:t>
      </w:r>
      <w:r>
        <w:fldChar w:fldCharType="end"/>
      </w:r>
    </w:p>
    <w:p w:rsidR="005429DD" w:rsidP="005429DD">
      <w:pPr>
        <w:pStyle w:val="Version"/>
        <w:sectPr w:rsidSect="002A5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022" w:rsidP="002A5022">
      <w:pPr>
        <w:pStyle w:val="SuperHeading"/>
      </w:pPr>
      <w:r w:rsidRPr="002A5022">
        <w:t>Assessment Requirements for HLTPHA019 Coordinate communication processes in a hospital or health services pharmacy setting</w:t>
      </w:r>
    </w:p>
    <w:p w:rsidR="00000000" w:rsidRPr="002A5022" w:rsidP="002A5022">
      <w:pPr>
        <w:pStyle w:val="Heading1"/>
      </w:pPr>
      <w:bookmarkStart w:id="1" w:name="O_1225452"/>
      <w:bookmarkEnd w:id="1"/>
      <w:r w:rsidRPr="002A5022">
        <w:t>Modification History</w:t>
      </w:r>
    </w:p>
    <w:p w:rsidR="00000000" w:rsidRPr="002A5022" w:rsidP="005429DD">
      <w:pPr>
        <w:pStyle w:val="BodyText"/>
      </w:pPr>
      <w:r w:rsidRPr="002A5022">
        <w:t>Not applicable.</w:t>
      </w:r>
    </w:p>
    <w:p w:rsidR="00000000" w:rsidRPr="002A5022" w:rsidP="002A5022">
      <w:pPr>
        <w:pStyle w:val="Heading1"/>
      </w:pPr>
      <w:bookmarkStart w:id="2" w:name="O_1225453"/>
      <w:bookmarkEnd w:id="2"/>
      <w:r w:rsidRPr="002A5022">
        <w:t>Performance Evidence</w:t>
      </w:r>
    </w:p>
    <w:p w:rsidR="00000000" w:rsidRPr="002A5022" w:rsidP="005429DD">
      <w:pPr>
        <w:pStyle w:val="BodyText"/>
      </w:pPr>
      <w:r w:rsidRPr="002A5022">
        <w:t>Evidence of the ability to complete tasks outlined in elements and performance criteria of this unit in the context of the job role, and:</w:t>
      </w:r>
    </w:p>
    <w:p w:rsidR="00000000" w:rsidRPr="002A5022" w:rsidP="002A5022">
      <w:pPr>
        <w:pStyle w:val="ListBullet"/>
      </w:pPr>
      <w:r w:rsidRPr="002A5022">
        <w:t>deputise dispensary, aseptic, non-aseptic, procurement, imprest or other work areas on at least 2 occasions</w:t>
      </w:r>
    </w:p>
    <w:p w:rsidR="00000000" w:rsidRPr="002A5022" w:rsidP="002A5022">
      <w:pPr>
        <w:pStyle w:val="ListBullet"/>
      </w:pPr>
      <w:r w:rsidRPr="002A5022">
        <w:t>apply com</w:t>
      </w:r>
      <w:r w:rsidRPr="002A5022">
        <w:t>munication techniques in at least 4 different situations, including:</w:t>
      </w:r>
    </w:p>
    <w:p w:rsidR="00000000" w:rsidRPr="002A5022" w:rsidP="002A5022">
      <w:pPr>
        <w:pStyle w:val="ListBullet2"/>
      </w:pPr>
      <w:r w:rsidRPr="002A5022">
        <w:t>2 administrative situations</w:t>
      </w:r>
    </w:p>
    <w:p w:rsidR="00000000" w:rsidRPr="002A5022" w:rsidP="002A5022">
      <w:pPr>
        <w:pStyle w:val="ListBullet2"/>
      </w:pPr>
      <w:r w:rsidRPr="002A5022">
        <w:t xml:space="preserve">2 patient care situations </w:t>
      </w:r>
    </w:p>
    <w:p w:rsidR="00000000" w:rsidRPr="002A5022" w:rsidP="002A5022">
      <w:pPr>
        <w:pStyle w:val="ListBullet"/>
      </w:pPr>
      <w:r w:rsidRPr="002A5022">
        <w:t>resolve team effectiveness issues on 2 occasions</w:t>
      </w:r>
    </w:p>
    <w:p w:rsidR="00000000" w:rsidRPr="002A5022" w:rsidP="002A5022">
      <w:pPr>
        <w:pStyle w:val="ListBullet"/>
      </w:pPr>
      <w:r w:rsidRPr="002A5022">
        <w:t>perform the activities outlined in the performance criteria of this unit during a</w:t>
      </w:r>
      <w:r w:rsidRPr="002A5022">
        <w:t xml:space="preserve"> period of 240 hours of work related to hospital or health services pharmacy support in a clinical workplace environment. These 240 hours may be applied collectively across all units of competency that include the requirement for workplace hours for the pu</w:t>
      </w:r>
      <w:r w:rsidRPr="002A5022">
        <w:t>rposes of assessment.</w:t>
      </w:r>
    </w:p>
    <w:p w:rsidR="00000000" w:rsidRPr="002A5022" w:rsidP="002A5022">
      <w:pPr>
        <w:pStyle w:val="AllowPageBreak"/>
      </w:pPr>
    </w:p>
    <w:p w:rsidR="00000000" w:rsidRPr="002A5022" w:rsidP="002A5022">
      <w:pPr>
        <w:pStyle w:val="Heading1"/>
      </w:pPr>
      <w:bookmarkStart w:id="3" w:name="O_1225454"/>
      <w:bookmarkEnd w:id="3"/>
      <w:r w:rsidRPr="002A5022">
        <w:t>Knowledge Evidence</w:t>
      </w:r>
    </w:p>
    <w:p w:rsidR="00000000" w:rsidRPr="002A5022" w:rsidP="005429DD">
      <w:pPr>
        <w:pStyle w:val="BodyText"/>
      </w:pPr>
      <w:r w:rsidRPr="002A5022">
        <w:t>Demonstrated knowledge required to complete the tasks outlined in elements and performance criteria of this unit:</w:t>
      </w:r>
    </w:p>
    <w:p w:rsidR="00000000" w:rsidRPr="002A5022" w:rsidP="002A5022">
      <w:pPr>
        <w:pStyle w:val="ListBullet"/>
      </w:pPr>
      <w:r w:rsidRPr="002A5022">
        <w:t>supervisory principles, including:</w:t>
      </w:r>
    </w:p>
    <w:p w:rsidR="00000000" w:rsidRPr="002A5022" w:rsidP="002A5022">
      <w:pPr>
        <w:pStyle w:val="ListBullet2"/>
      </w:pPr>
      <w:r w:rsidRPr="002A5022">
        <w:t>planning work processes to achieve organisational goals</w:t>
      </w:r>
    </w:p>
    <w:p w:rsidR="00000000" w:rsidRPr="002A5022" w:rsidP="002A5022">
      <w:pPr>
        <w:pStyle w:val="ListBullet2"/>
      </w:pPr>
      <w:r w:rsidRPr="002A5022">
        <w:t>performance monitoring</w:t>
      </w:r>
    </w:p>
    <w:p w:rsidR="00000000" w:rsidRPr="002A5022" w:rsidP="002A5022">
      <w:pPr>
        <w:pStyle w:val="ListBullet2"/>
      </w:pPr>
      <w:r w:rsidRPr="002A5022">
        <w:t>team effectiveness facilitation methods</w:t>
      </w:r>
    </w:p>
    <w:p w:rsidR="00000000" w:rsidRPr="002A5022" w:rsidP="002A5022">
      <w:pPr>
        <w:pStyle w:val="ListBullet2"/>
      </w:pPr>
      <w:r w:rsidRPr="002A5022">
        <w:t>monitoring techniques</w:t>
      </w:r>
    </w:p>
    <w:p w:rsidR="00000000" w:rsidRPr="002A5022" w:rsidP="002A5022">
      <w:pPr>
        <w:pStyle w:val="ListBullet2"/>
      </w:pPr>
      <w:r w:rsidRPr="002A5022">
        <w:t>staff performance review processes</w:t>
      </w:r>
    </w:p>
    <w:p w:rsidR="00000000" w:rsidRPr="002A5022" w:rsidP="002A5022">
      <w:pPr>
        <w:pStyle w:val="ListBullet2"/>
      </w:pPr>
      <w:r w:rsidRPr="002A5022">
        <w:t>review processes to measure overall team effectiveness against organisational ta</w:t>
      </w:r>
      <w:r w:rsidRPr="002A5022">
        <w:t>rgets</w:t>
      </w:r>
    </w:p>
    <w:p w:rsidR="00000000" w:rsidRPr="002A5022" w:rsidP="002A5022">
      <w:pPr>
        <w:pStyle w:val="ListBullet"/>
      </w:pPr>
      <w:r w:rsidRPr="002A5022">
        <w:t>National, State or Territory legal and ethical requirements for dispensary, aseptic, non-aseptic, procurement, imprest stock monitoring or other work areas, and how these are applied in organisations, including:</w:t>
      </w:r>
    </w:p>
    <w:p w:rsidR="00000000" w:rsidRPr="002A5022" w:rsidP="002A5022">
      <w:pPr>
        <w:pStyle w:val="ListBullet2"/>
      </w:pPr>
      <w:r w:rsidRPr="002A5022">
        <w:t>codes of conduct</w:t>
      </w:r>
    </w:p>
    <w:p w:rsidR="00000000" w:rsidRPr="002A5022" w:rsidP="002A5022">
      <w:pPr>
        <w:pStyle w:val="ListBullet2"/>
      </w:pPr>
      <w:r w:rsidRPr="002A5022">
        <w:t>duty of care and im</w:t>
      </w:r>
      <w:r w:rsidRPr="002A5022">
        <w:t>plications of negligence</w:t>
      </w:r>
    </w:p>
    <w:p w:rsidR="00000000" w:rsidRPr="002A5022" w:rsidP="002A5022">
      <w:pPr>
        <w:pStyle w:val="ListBullet2"/>
      </w:pPr>
      <w:r w:rsidRPr="002A5022">
        <w:t>privacy, confidentiality and disclosure</w:t>
      </w:r>
    </w:p>
    <w:p w:rsidR="00000000" w:rsidRPr="002A5022" w:rsidP="002A5022">
      <w:pPr>
        <w:pStyle w:val="ListBullet2"/>
      </w:pPr>
      <w:r w:rsidRPr="002A5022">
        <w:t>records management</w:t>
      </w:r>
    </w:p>
    <w:p w:rsidR="00000000" w:rsidRPr="002A5022" w:rsidP="002A5022">
      <w:pPr>
        <w:pStyle w:val="ListBullet2"/>
      </w:pPr>
      <w:r w:rsidRPr="002A5022">
        <w:t>rights and responsibilities of workers, employers and patients</w:t>
      </w:r>
    </w:p>
    <w:p w:rsidR="00000000" w:rsidRPr="002A5022" w:rsidP="002A5022">
      <w:pPr>
        <w:pStyle w:val="ListBullet2"/>
      </w:pPr>
      <w:r w:rsidRPr="002A5022">
        <w:t>specific legislation:</w:t>
      </w:r>
    </w:p>
    <w:p w:rsidR="00000000" w:rsidRPr="002A5022" w:rsidP="002A5022">
      <w:pPr>
        <w:pStyle w:val="ListBullet3"/>
      </w:pPr>
      <w:r w:rsidRPr="002A5022">
        <w:t>medication and their use</w:t>
      </w:r>
    </w:p>
    <w:p w:rsidR="00000000" w:rsidRPr="002A5022" w:rsidP="002A5022">
      <w:pPr>
        <w:pStyle w:val="ListBullet3"/>
      </w:pPr>
      <w:r w:rsidRPr="002A5022">
        <w:t>the practice of pharmacy</w:t>
      </w:r>
    </w:p>
    <w:p w:rsidR="00000000" w:rsidRPr="002A5022" w:rsidP="002A5022">
      <w:pPr>
        <w:pStyle w:val="ListBullet3"/>
      </w:pPr>
      <w:r w:rsidRPr="002A5022">
        <w:t>different schedules of medication and pharmaceutical products</w:t>
      </w:r>
    </w:p>
    <w:p w:rsidR="00000000" w:rsidRPr="002A5022" w:rsidP="002A5022">
      <w:pPr>
        <w:pStyle w:val="ListBullet2"/>
      </w:pPr>
      <w:r w:rsidRPr="002A5022">
        <w:t>job descriptions</w:t>
      </w:r>
    </w:p>
    <w:p w:rsidR="00000000" w:rsidRPr="002A5022" w:rsidP="002A5022">
      <w:pPr>
        <w:pStyle w:val="ListBullet2"/>
      </w:pPr>
      <w:r w:rsidRPr="002A5022">
        <w:t>work role boundaries including responsibilities and limitations</w:t>
      </w:r>
    </w:p>
    <w:p w:rsidR="00000000" w:rsidRPr="002A5022" w:rsidP="002A5022">
      <w:pPr>
        <w:pStyle w:val="ListBullet2"/>
      </w:pPr>
      <w:r w:rsidRPr="002A5022">
        <w:t>work health and safety</w:t>
      </w:r>
    </w:p>
    <w:p w:rsidR="00000000" w:rsidRPr="002A5022" w:rsidP="002A5022">
      <w:pPr>
        <w:pStyle w:val="ListBullet"/>
      </w:pPr>
      <w:r w:rsidRPr="002A5022">
        <w:t>key information in standard pharmaceutical references and their use by pharmacy assistan</w:t>
      </w:r>
      <w:r w:rsidRPr="002A5022">
        <w:t>ts, including:</w:t>
      </w:r>
    </w:p>
    <w:p w:rsidR="00000000" w:rsidRPr="002A5022" w:rsidP="002A5022">
      <w:pPr>
        <w:pStyle w:val="ListBullet2"/>
      </w:pPr>
      <w:r w:rsidRPr="002A5022">
        <w:t>Australian Pharmaceutical Formulary Handbook (APF)</w:t>
      </w:r>
    </w:p>
    <w:p w:rsidR="00000000" w:rsidRPr="002A5022" w:rsidP="002A5022">
      <w:pPr>
        <w:pStyle w:val="ListBullet2"/>
      </w:pPr>
      <w:r w:rsidRPr="002A5022">
        <w:t>Monthly Index of Medical Specialities (MIMS) or AusDI Advanced</w:t>
      </w:r>
    </w:p>
    <w:p w:rsidR="00000000" w:rsidRPr="002A5022" w:rsidP="002A5022">
      <w:pPr>
        <w:pStyle w:val="ListBullet2"/>
      </w:pPr>
      <w:r w:rsidRPr="002A5022">
        <w:t>Australian Medicines Handbook (AMH)</w:t>
      </w:r>
    </w:p>
    <w:p w:rsidR="00000000" w:rsidRPr="002A5022" w:rsidP="002A5022">
      <w:pPr>
        <w:pStyle w:val="ListBullet2"/>
      </w:pPr>
      <w:r w:rsidRPr="002A5022">
        <w:t>Micromedex</w:t>
      </w:r>
    </w:p>
    <w:p w:rsidR="00000000" w:rsidRPr="002A5022" w:rsidP="002A5022">
      <w:pPr>
        <w:pStyle w:val="ListBullet"/>
      </w:pPr>
      <w:r w:rsidRPr="002A5022">
        <w:t>principles and procedures for imprest stock control.</w:t>
      </w:r>
    </w:p>
    <w:p w:rsidR="00000000" w:rsidRPr="002A5022" w:rsidP="002A5022">
      <w:pPr>
        <w:pStyle w:val="AllowPageBreak"/>
      </w:pPr>
    </w:p>
    <w:p w:rsidR="00000000" w:rsidRPr="002A5022" w:rsidP="002A5022">
      <w:pPr>
        <w:pStyle w:val="Heading1"/>
      </w:pPr>
      <w:bookmarkStart w:id="4" w:name="O_1225455"/>
      <w:bookmarkEnd w:id="4"/>
      <w:r w:rsidRPr="002A5022">
        <w:t>Assessment Conditions</w:t>
      </w:r>
    </w:p>
    <w:p w:rsidR="00000000" w:rsidRPr="002A5022" w:rsidP="005429DD">
      <w:pPr>
        <w:pStyle w:val="BodyText"/>
      </w:pPr>
      <w:r w:rsidRPr="002A5022">
        <w:t>Skills must be demonstrated in the workplace with the addition of simulations and scenarios where the full range of contexts and situations have not been provided in the workplace.</w:t>
      </w:r>
    </w:p>
    <w:p w:rsidR="00000000" w:rsidRPr="002A5022" w:rsidP="005429DD">
      <w:pPr>
        <w:pStyle w:val="BodyText"/>
      </w:pPr>
      <w:r w:rsidRPr="002A5022">
        <w:t>Assessment must ensure access to:</w:t>
      </w:r>
    </w:p>
    <w:p w:rsidR="00000000" w:rsidRPr="002A5022" w:rsidP="002A5022">
      <w:pPr>
        <w:pStyle w:val="ListBullet"/>
      </w:pPr>
      <w:r w:rsidRPr="002A5022">
        <w:t>use of suitable fa</w:t>
      </w:r>
      <w:r w:rsidRPr="002A5022">
        <w:t>cilities, equipment and resources, including:</w:t>
      </w:r>
    </w:p>
    <w:p w:rsidR="00000000" w:rsidRPr="002A5022" w:rsidP="002A5022">
      <w:pPr>
        <w:pStyle w:val="ListBullet2"/>
      </w:pPr>
      <w:r w:rsidRPr="002A5022">
        <w:t xml:space="preserve">pharmaceutical stock management procedures </w:t>
      </w:r>
    </w:p>
    <w:p w:rsidR="00000000" w:rsidRPr="002A5022" w:rsidP="002A5022">
      <w:pPr>
        <w:pStyle w:val="ListBullet2"/>
      </w:pPr>
      <w:r w:rsidRPr="002A5022">
        <w:t xml:space="preserve">pharmaceutical products </w:t>
      </w:r>
    </w:p>
    <w:p w:rsidR="00000000" w:rsidRPr="002A5022" w:rsidP="002A5022">
      <w:pPr>
        <w:pStyle w:val="ListBullet"/>
      </w:pPr>
      <w:r w:rsidRPr="002A5022">
        <w:t>modelling of industry operating conditions, including presence of time constraints for activities</w:t>
      </w:r>
    </w:p>
    <w:p w:rsidR="00000000" w:rsidRPr="002A5022" w:rsidP="002A5022">
      <w:pPr>
        <w:pStyle w:val="ListBullet"/>
      </w:pPr>
      <w:r w:rsidRPr="002A5022">
        <w:t>authorised person with whom to consult.</w:t>
      </w:r>
    </w:p>
    <w:p w:rsidR="00000000" w:rsidRPr="002A5022" w:rsidP="005429DD">
      <w:pPr>
        <w:pStyle w:val="BodyText"/>
      </w:pPr>
      <w:r w:rsidRPr="002A5022">
        <w:t>Assessors must satisfy the Standards for Registered Training Organisations’ requirements for assessors.</w:t>
      </w:r>
    </w:p>
    <w:p w:rsidR="00000000" w:rsidRPr="002A5022" w:rsidP="002A5022">
      <w:pPr>
        <w:pStyle w:val="Heading1"/>
      </w:pPr>
      <w:bookmarkStart w:id="5" w:name="O_1225458"/>
      <w:bookmarkEnd w:id="5"/>
      <w:r w:rsidRPr="002A5022">
        <w:t>Links</w:t>
      </w:r>
    </w:p>
    <w:p w:rsidR="00000000" w:rsidRPr="002A5022" w:rsidP="005429DD">
      <w:pPr>
        <w:pStyle w:val="BodyText"/>
      </w:pPr>
      <w:r w:rsidRPr="002A50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8120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A5022" w:rsidP="002A5022"/>
    <w:sectPr w:rsidSect="002A50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22" w:rsidRPr="005429DD" w:rsidP="005429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DD" w:rsidP="002A5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9DD" w:rsidP="002A5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29DD" w:rsidP="002A5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22" w:rsidRPr="005429DD" w:rsidP="005429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9DD" w:rsidRPr="002D2AF8" w:rsidP="002A5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HLTPHA019 Coordinate communication processes in a hospital or health services pharmacy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429DD" w:rsidP="002A5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4C73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C09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28B7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22"/>
  </w:style>
  <w:style w:type="character" w:customStyle="1" w:styleId="Heading1Char">
    <w:name w:val="Heading 1 Char"/>
    <w:basedOn w:val="DefaultParagraphFont"/>
    <w:link w:val="Heading1"/>
    <w:rsid w:val="002A5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0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0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502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5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022"/>
    <w:rPr>
      <w:b/>
      <w:spacing w:val="0"/>
    </w:rPr>
  </w:style>
  <w:style w:type="paragraph" w:customStyle="1" w:styleId="SuperTitle">
    <w:name w:val="SuperTitle"/>
    <w:basedOn w:val="Title"/>
    <w:rsid w:val="002A5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022"/>
    <w:rPr>
      <w:i/>
    </w:rPr>
  </w:style>
  <w:style w:type="paragraph" w:styleId="Caption">
    <w:name w:val="caption"/>
    <w:basedOn w:val="BodyText"/>
    <w:next w:val="Normal"/>
    <w:qFormat/>
    <w:rsid w:val="002A5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22"/>
  </w:style>
  <w:style w:type="paragraph" w:styleId="TableofFigures">
    <w:name w:val="table of figures"/>
    <w:basedOn w:val="Normal"/>
    <w:next w:val="Normal"/>
    <w:semiHidden/>
    <w:rsid w:val="002A5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5022"/>
    <w:rPr>
      <w:rFonts w:ascii="Wingdings" w:hAnsi="Wingdings"/>
    </w:rPr>
  </w:style>
  <w:style w:type="paragraph" w:customStyle="1" w:styleId="TableHeading">
    <w:name w:val="Table Heading"/>
    <w:basedOn w:val="HeadingBase"/>
    <w:rsid w:val="002A5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22"/>
    <w:rPr>
      <w:color w:val="0033CC"/>
      <w:u w:val="none"/>
    </w:rPr>
  </w:style>
  <w:style w:type="paragraph" w:customStyle="1" w:styleId="BodyTextRight">
    <w:name w:val="Body Text Right"/>
    <w:basedOn w:val="BodyText"/>
    <w:rsid w:val="002A5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22"/>
    <w:rPr>
      <w:sz w:val="32"/>
    </w:rPr>
  </w:style>
  <w:style w:type="paragraph" w:customStyle="1" w:styleId="HeadingProcedure">
    <w:name w:val="Heading Procedure"/>
    <w:basedOn w:val="HeadingBase"/>
    <w:next w:val="Normal"/>
    <w:rsid w:val="002A5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22"/>
    <w:pPr>
      <w:spacing w:before="60" w:after="60"/>
    </w:pPr>
  </w:style>
  <w:style w:type="paragraph" w:styleId="ListContinue">
    <w:name w:val="List Continue"/>
    <w:basedOn w:val="List"/>
    <w:rsid w:val="002A5022"/>
    <w:pPr>
      <w:ind w:firstLine="0"/>
    </w:pPr>
  </w:style>
  <w:style w:type="paragraph" w:customStyle="1" w:styleId="ListNote">
    <w:name w:val="List Note"/>
    <w:basedOn w:val="List"/>
    <w:rsid w:val="002A5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22"/>
    <w:rPr>
      <w:rFonts w:ascii="Courier New" w:hAnsi="Courier New"/>
    </w:rPr>
  </w:style>
  <w:style w:type="paragraph" w:customStyle="1" w:styleId="NoteBullet">
    <w:name w:val="Note Bullet"/>
    <w:basedOn w:val="Note"/>
    <w:rsid w:val="002A5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5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22"/>
    <w:rPr>
      <w:b/>
      <w:smallCaps/>
    </w:rPr>
  </w:style>
  <w:style w:type="paragraph" w:customStyle="1" w:styleId="TableListNumber">
    <w:name w:val="Table List Number"/>
    <w:basedOn w:val="ListNumber"/>
    <w:rsid w:val="002A5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22"/>
    <w:pPr>
      <w:numPr>
        <w:numId w:val="10"/>
      </w:numPr>
    </w:pPr>
  </w:style>
  <w:style w:type="paragraph" w:customStyle="1" w:styleId="ListAlpha2">
    <w:name w:val="List Alpha 2"/>
    <w:basedOn w:val="List2"/>
    <w:rsid w:val="002A5022"/>
    <w:pPr>
      <w:numPr>
        <w:numId w:val="9"/>
      </w:numPr>
    </w:pPr>
  </w:style>
  <w:style w:type="paragraph" w:styleId="List2">
    <w:name w:val="List 2"/>
    <w:basedOn w:val="BodyText"/>
    <w:rsid w:val="002A5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50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5022"/>
    <w:pPr>
      <w:numPr>
        <w:numId w:val="5"/>
      </w:numPr>
    </w:pPr>
  </w:style>
  <w:style w:type="paragraph" w:styleId="ListContinue2">
    <w:name w:val="List Continue 2"/>
    <w:basedOn w:val="List2"/>
    <w:rsid w:val="002A5022"/>
    <w:pPr>
      <w:ind w:firstLine="0"/>
    </w:pPr>
  </w:style>
  <w:style w:type="paragraph" w:styleId="ListContinue3">
    <w:name w:val="List Continue 3"/>
    <w:basedOn w:val="List3"/>
    <w:rsid w:val="002A5022"/>
    <w:pPr>
      <w:ind w:left="1021" w:firstLine="0"/>
    </w:pPr>
  </w:style>
  <w:style w:type="paragraph" w:styleId="ListContinue4">
    <w:name w:val="List Continue 4"/>
    <w:basedOn w:val="List4"/>
    <w:rsid w:val="002A5022"/>
    <w:pPr>
      <w:ind w:firstLine="0"/>
    </w:pPr>
  </w:style>
  <w:style w:type="paragraph" w:styleId="ListContinue5">
    <w:name w:val="List Continue 5"/>
    <w:basedOn w:val="List5"/>
    <w:rsid w:val="002A5022"/>
    <w:pPr>
      <w:ind w:firstLine="0"/>
    </w:pPr>
  </w:style>
  <w:style w:type="paragraph" w:styleId="ListNumber3">
    <w:name w:val="List Number 3"/>
    <w:basedOn w:val="List3"/>
    <w:rsid w:val="002A5022"/>
    <w:pPr>
      <w:numPr>
        <w:numId w:val="6"/>
      </w:numPr>
    </w:pPr>
  </w:style>
  <w:style w:type="paragraph" w:styleId="ListNumber4">
    <w:name w:val="List Number 4"/>
    <w:basedOn w:val="List4"/>
    <w:rsid w:val="002A5022"/>
    <w:pPr>
      <w:numPr>
        <w:numId w:val="7"/>
      </w:numPr>
    </w:pPr>
  </w:style>
  <w:style w:type="paragraph" w:styleId="ListNumber5">
    <w:name w:val="List Number 5"/>
    <w:basedOn w:val="List5"/>
    <w:rsid w:val="002A5022"/>
    <w:pPr>
      <w:numPr>
        <w:numId w:val="8"/>
      </w:numPr>
    </w:pPr>
  </w:style>
  <w:style w:type="paragraph" w:styleId="BlockText">
    <w:name w:val="Block Text"/>
    <w:basedOn w:val="Normal"/>
    <w:rsid w:val="002A5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22"/>
    <w:rPr>
      <w:sz w:val="16"/>
      <w:vertAlign w:val="superscript"/>
    </w:rPr>
  </w:style>
  <w:style w:type="character" w:customStyle="1" w:styleId="Symbols">
    <w:name w:val="Symbols"/>
    <w:basedOn w:val="DefaultParagraphFont"/>
    <w:rsid w:val="002A5022"/>
    <w:rPr>
      <w:rFonts w:ascii="Symbol" w:hAnsi="Symbol"/>
    </w:rPr>
  </w:style>
  <w:style w:type="character" w:customStyle="1" w:styleId="MenuOptions">
    <w:name w:val="Menu Options"/>
    <w:basedOn w:val="DefaultParagraphFont"/>
    <w:rsid w:val="002A5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22"/>
    <w:rPr>
      <w:b/>
    </w:rPr>
  </w:style>
  <w:style w:type="character" w:customStyle="1" w:styleId="Underlined">
    <w:name w:val="Underlined"/>
    <w:basedOn w:val="DefaultParagraphFont"/>
    <w:rsid w:val="002A5022"/>
    <w:rPr>
      <w:u w:val="single"/>
    </w:rPr>
  </w:style>
  <w:style w:type="paragraph" w:customStyle="1" w:styleId="TableBodyTextRight">
    <w:name w:val="Table Body Text Right"/>
    <w:basedOn w:val="TableBodyText"/>
    <w:rsid w:val="002A5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22"/>
    <w:rPr>
      <w:sz w:val="18"/>
    </w:rPr>
  </w:style>
  <w:style w:type="paragraph" w:customStyle="1" w:styleId="BodySmallRight">
    <w:name w:val="Body Small Right"/>
    <w:basedOn w:val="BodyTextRight"/>
    <w:rsid w:val="002A5022"/>
    <w:rPr>
      <w:sz w:val="18"/>
      <w:szCs w:val="18"/>
    </w:rPr>
  </w:style>
  <w:style w:type="paragraph" w:customStyle="1" w:styleId="MarginEdition">
    <w:name w:val="Margin Edition"/>
    <w:basedOn w:val="MarginNote"/>
    <w:rsid w:val="002A5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22"/>
    <w:rPr>
      <w:sz w:val="2"/>
      <w:szCs w:val="2"/>
    </w:rPr>
  </w:style>
  <w:style w:type="character" w:customStyle="1" w:styleId="Small">
    <w:name w:val="Small"/>
    <w:basedOn w:val="DefaultParagraphFont"/>
    <w:rsid w:val="002A5022"/>
    <w:rPr>
      <w:sz w:val="16"/>
    </w:rPr>
  </w:style>
  <w:style w:type="paragraph" w:customStyle="1" w:styleId="WideTable">
    <w:name w:val="Wide Table"/>
    <w:basedOn w:val="Normal"/>
    <w:rsid w:val="002A5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22"/>
  </w:style>
  <w:style w:type="paragraph" w:styleId="Quote">
    <w:name w:val="Quote"/>
    <w:basedOn w:val="Heading1"/>
    <w:link w:val="QuoteChar"/>
    <w:qFormat/>
    <w:rsid w:val="002A5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22"/>
    <w:pPr>
      <w:pageBreakBefore/>
    </w:pPr>
  </w:style>
  <w:style w:type="paragraph" w:customStyle="1" w:styleId="Border">
    <w:name w:val="Border"/>
    <w:basedOn w:val="Normal"/>
    <w:qFormat/>
    <w:rsid w:val="002A5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22"/>
    <w:rPr>
      <w:u w:val="single"/>
    </w:rPr>
  </w:style>
  <w:style w:type="character" w:customStyle="1" w:styleId="BoldandItalics">
    <w:name w:val="Bold and Italics"/>
    <w:qFormat/>
    <w:rsid w:val="002A5022"/>
    <w:rPr>
      <w:b/>
      <w:i/>
      <w:u w:val="none"/>
    </w:rPr>
  </w:style>
  <w:style w:type="paragraph" w:styleId="BalloonText">
    <w:name w:val="Balloon Text"/>
    <w:basedOn w:val="Normal"/>
    <w:link w:val="BalloonTextChar"/>
    <w:rsid w:val="002A5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22"/>
    <w:pPr>
      <w:spacing w:before="0" w:after="0"/>
    </w:pPr>
  </w:style>
  <w:style w:type="paragraph" w:customStyle="1" w:styleId="BodyTextBold">
    <w:name w:val="Body Text Bold"/>
    <w:basedOn w:val="BodyText"/>
    <w:qFormat/>
    <w:rsid w:val="002A5022"/>
    <w:rPr>
      <w:b/>
    </w:rPr>
  </w:style>
  <w:style w:type="character" w:styleId="Hyperlink">
    <w:name w:val="Hyperlink"/>
    <w:basedOn w:val="DefaultParagraphFont"/>
    <w:uiPriority w:val="99"/>
    <w:unhideWhenUsed/>
    <w:rsid w:val="005429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2982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HLTPHA019 Coordinate communication processes in a hospital or health services pharmacy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2023-07-02T02:29:00Z</dcterms:created>
  <dcterms:modified xsi:type="dcterms:W3CDTF">2023-07-02T02:29:00Z</dcterms:modified>
</cp:coreProperties>
</file>