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774D" w:rsidP="001877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HLTPHA018 Support pharmacists in the collection and presentation of workplace data and information</w:t>
      </w:r>
      <w:r>
        <w:fldChar w:fldCharType="end"/>
      </w:r>
    </w:p>
    <w:p w:rsidR="0018774D" w:rsidP="0018774D">
      <w:pPr>
        <w:pStyle w:val="Version"/>
        <w:sectPr w:rsidSect="006F64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64FA" w:rsidP="006F64FA">
      <w:pPr>
        <w:pStyle w:val="SuperHeading"/>
      </w:pPr>
      <w:r w:rsidRPr="006F64FA">
        <w:t>Assessment Requirements for HLTPHA018 Support pharmacists in the collection and presentation of workplace data and information</w:t>
      </w:r>
    </w:p>
    <w:p w:rsidR="00000000" w:rsidRPr="006F64FA" w:rsidP="006F64FA">
      <w:pPr>
        <w:pStyle w:val="Heading1"/>
      </w:pPr>
      <w:bookmarkStart w:id="1" w:name="O_1225431"/>
      <w:bookmarkEnd w:id="1"/>
      <w:r w:rsidRPr="006F64FA">
        <w:t>Modification History</w:t>
      </w:r>
    </w:p>
    <w:p w:rsidR="00000000" w:rsidRPr="006F64FA" w:rsidP="0018774D">
      <w:pPr>
        <w:pStyle w:val="BodyText"/>
      </w:pPr>
      <w:r w:rsidRPr="006F64FA">
        <w:t>Not applicable.</w:t>
      </w:r>
    </w:p>
    <w:p w:rsidR="00000000" w:rsidRPr="006F64FA" w:rsidP="006F64FA">
      <w:pPr>
        <w:pStyle w:val="Heading1"/>
      </w:pPr>
      <w:bookmarkStart w:id="2" w:name="O_1225434"/>
      <w:bookmarkEnd w:id="2"/>
      <w:r w:rsidRPr="006F64FA">
        <w:t>Performance Evidence</w:t>
      </w:r>
    </w:p>
    <w:p w:rsidR="00000000" w:rsidRPr="006F64FA" w:rsidP="0018774D">
      <w:pPr>
        <w:pStyle w:val="BodyText"/>
      </w:pPr>
      <w:r w:rsidRPr="006F64FA">
        <w:t>Evidence of the ability to complete tasks outlined in elements and performance criteria of this unit in the context of the job role, and:</w:t>
      </w:r>
    </w:p>
    <w:p w:rsidR="00000000" w:rsidRPr="006F64FA" w:rsidP="006F64FA">
      <w:pPr>
        <w:pStyle w:val="ListBullet"/>
      </w:pPr>
      <w:r w:rsidRPr="006F64FA">
        <w:t xml:space="preserve">comply with legal, organisational and Standards of Practice for Clinical Pharmacy Services (SHPA) for collection and </w:t>
      </w:r>
      <w:r w:rsidRPr="006F64FA">
        <w:t>presentation of accurate data and information including:</w:t>
      </w:r>
    </w:p>
    <w:p w:rsidR="00000000" w:rsidRPr="006F64FA" w:rsidP="006F64FA">
      <w:pPr>
        <w:pStyle w:val="ListBullet2"/>
      </w:pPr>
      <w:r w:rsidRPr="006F64FA">
        <w:t>screening at least 30 medication charts for dispensing requirements</w:t>
      </w:r>
    </w:p>
    <w:p w:rsidR="00000000" w:rsidRPr="006F64FA" w:rsidP="006F64FA">
      <w:pPr>
        <w:pStyle w:val="ListBullet2"/>
      </w:pPr>
      <w:r w:rsidRPr="006F64FA">
        <w:t>sourcing and gathering at least one set of data or information for each of the following:</w:t>
      </w:r>
    </w:p>
    <w:p w:rsidR="00000000" w:rsidRPr="006F64FA" w:rsidP="006F64FA">
      <w:pPr>
        <w:pStyle w:val="ListBullet3"/>
      </w:pPr>
      <w:r w:rsidRPr="006F64FA">
        <w:t>preparatory information required for re</w:t>
      </w:r>
      <w:r w:rsidRPr="006F64FA">
        <w:t xml:space="preserve">porting adverse drug reactions and other medication incidents </w:t>
      </w:r>
    </w:p>
    <w:p w:rsidR="00000000" w:rsidRPr="006F64FA" w:rsidP="006F64FA">
      <w:pPr>
        <w:pStyle w:val="ListBullet3"/>
      </w:pPr>
      <w:r w:rsidRPr="006F64FA">
        <w:t>medicines use evaluation (MUE) and audit information requested by a pharmacist or an authorised person</w:t>
      </w:r>
    </w:p>
    <w:p w:rsidR="00000000" w:rsidRPr="006F64FA" w:rsidP="006F64FA">
      <w:pPr>
        <w:pStyle w:val="ListBullet3"/>
      </w:pPr>
      <w:r w:rsidRPr="006F64FA">
        <w:t>specific patient data</w:t>
      </w:r>
    </w:p>
    <w:p w:rsidR="00000000" w:rsidRPr="006F64FA" w:rsidP="006F64FA">
      <w:pPr>
        <w:pStyle w:val="ListBullet2"/>
      </w:pPr>
      <w:r w:rsidRPr="006F64FA">
        <w:t>arranging information and present it in a form appropriate for the purpose of organisation’s work practices</w:t>
      </w:r>
    </w:p>
    <w:p w:rsidR="00000000" w:rsidRPr="006F64FA" w:rsidP="006F64FA">
      <w:pPr>
        <w:pStyle w:val="ListBullet"/>
      </w:pPr>
      <w:r w:rsidRPr="006F64FA">
        <w:t>perform the activities outlined in the performance criteria of this unit during a period of at least 240 hours of work related to hospital or healt</w:t>
      </w:r>
      <w:r w:rsidRPr="006F64FA">
        <w:t>h services pharmacy support in a clinical workplace environment. These 240 hours may be applied collectively across all units of competency that include the requirement for workplace hours for the purposes of assessment.</w:t>
      </w:r>
    </w:p>
    <w:p w:rsidR="00000000" w:rsidRPr="006F64FA" w:rsidP="006F64FA">
      <w:pPr>
        <w:pStyle w:val="AllowPageBreak"/>
      </w:pPr>
    </w:p>
    <w:p w:rsidR="00000000" w:rsidRPr="006F64FA" w:rsidP="006F64FA">
      <w:pPr>
        <w:pStyle w:val="Heading1"/>
      </w:pPr>
      <w:bookmarkStart w:id="3" w:name="O_1225433"/>
      <w:bookmarkEnd w:id="3"/>
      <w:r w:rsidRPr="006F64FA">
        <w:t>Knowledge Eviden</w:t>
      </w:r>
      <w:r w:rsidRPr="006F64FA">
        <w:t>ce</w:t>
      </w:r>
    </w:p>
    <w:p w:rsidR="00000000" w:rsidRPr="006F64FA" w:rsidP="0018774D">
      <w:pPr>
        <w:pStyle w:val="BodyText"/>
      </w:pPr>
      <w:r w:rsidRPr="006F64FA">
        <w:t>Demonstrated knowledge required to complete the tasks outlined in elements and performance criteria of this unit:</w:t>
      </w:r>
    </w:p>
    <w:p w:rsidR="00000000" w:rsidRPr="006F64FA" w:rsidP="006F64FA">
      <w:pPr>
        <w:pStyle w:val="ListBullet"/>
      </w:pPr>
      <w:r w:rsidRPr="006F64FA">
        <w:t>National and State or Territory legal and ethical requirements for pharmacy work, and how these are applied in organisations, including:</w:t>
      </w:r>
    </w:p>
    <w:p w:rsidR="00000000" w:rsidRPr="006F64FA" w:rsidP="006F64FA">
      <w:pPr>
        <w:pStyle w:val="ListBullet2"/>
      </w:pPr>
      <w:r w:rsidRPr="006F64FA">
        <w:t>codes of conduct</w:t>
      </w:r>
    </w:p>
    <w:p w:rsidR="00000000" w:rsidRPr="006F64FA" w:rsidP="006F64FA">
      <w:pPr>
        <w:pStyle w:val="ListBullet2"/>
      </w:pPr>
      <w:r w:rsidRPr="006F64FA">
        <w:t>duty of care including implications of negligence</w:t>
      </w:r>
    </w:p>
    <w:p w:rsidR="00000000" w:rsidRPr="006F64FA" w:rsidP="006F64FA">
      <w:pPr>
        <w:pStyle w:val="ListBullet2"/>
      </w:pPr>
      <w:r w:rsidRPr="006F64FA">
        <w:t>informed consent</w:t>
      </w:r>
    </w:p>
    <w:p w:rsidR="00000000" w:rsidRPr="006F64FA" w:rsidP="006F64FA">
      <w:pPr>
        <w:pStyle w:val="ListBullet2"/>
      </w:pPr>
      <w:r w:rsidRPr="006F64FA">
        <w:t>privacy, confidentiality and disclosure</w:t>
      </w:r>
    </w:p>
    <w:p w:rsidR="00000000" w:rsidRPr="006F64FA" w:rsidP="006F64FA">
      <w:pPr>
        <w:pStyle w:val="ListBullet2"/>
      </w:pPr>
      <w:r w:rsidRPr="006F64FA">
        <w:t>records management</w:t>
      </w:r>
    </w:p>
    <w:p w:rsidR="00000000" w:rsidRPr="006F64FA" w:rsidP="006F64FA">
      <w:pPr>
        <w:pStyle w:val="ListBullet2"/>
      </w:pPr>
      <w:r w:rsidRPr="006F64FA">
        <w:t>rights and responsibilities of workers, employers and patients</w:t>
      </w:r>
    </w:p>
    <w:p w:rsidR="00000000" w:rsidRPr="006F64FA" w:rsidP="006F64FA">
      <w:pPr>
        <w:pStyle w:val="ListBullet2"/>
      </w:pPr>
      <w:r w:rsidRPr="006F64FA">
        <w:t>specific legislation:</w:t>
      </w:r>
    </w:p>
    <w:p w:rsidR="00000000" w:rsidRPr="006F64FA" w:rsidP="006F64FA">
      <w:pPr>
        <w:pStyle w:val="ListBullet3"/>
      </w:pPr>
      <w:r w:rsidRPr="006F64FA">
        <w:t>medication and its use</w:t>
      </w:r>
    </w:p>
    <w:p w:rsidR="00000000" w:rsidRPr="006F64FA" w:rsidP="006F64FA">
      <w:pPr>
        <w:pStyle w:val="ListBullet3"/>
      </w:pPr>
      <w:r w:rsidRPr="006F64FA">
        <w:t>the practice of pharmacy</w:t>
      </w:r>
    </w:p>
    <w:p w:rsidR="00000000" w:rsidRPr="006F64FA" w:rsidP="006F64FA">
      <w:pPr>
        <w:pStyle w:val="ListBullet3"/>
      </w:pPr>
      <w:r w:rsidRPr="006F64FA">
        <w:t>different schedules of medication and pharmaceutical products</w:t>
      </w:r>
    </w:p>
    <w:p w:rsidR="00000000" w:rsidRPr="006F64FA" w:rsidP="006F64FA">
      <w:pPr>
        <w:pStyle w:val="ListBullet2"/>
      </w:pPr>
      <w:r w:rsidRPr="006F64FA">
        <w:t>work role boundaries including responsibilities and limitations</w:t>
      </w:r>
    </w:p>
    <w:p w:rsidR="00000000" w:rsidRPr="006F64FA" w:rsidP="006F64FA">
      <w:pPr>
        <w:pStyle w:val="ListBullet2"/>
      </w:pPr>
      <w:r w:rsidRPr="006F64FA">
        <w:t>work health and safety</w:t>
      </w:r>
    </w:p>
    <w:p w:rsidR="00000000" w:rsidRPr="006F64FA" w:rsidP="006F64FA">
      <w:pPr>
        <w:pStyle w:val="ListBullet"/>
      </w:pPr>
      <w:r w:rsidRPr="006F64FA">
        <w:t>key information in standard pharmaceutical references and their use:</w:t>
      </w:r>
    </w:p>
    <w:p w:rsidR="00000000" w:rsidRPr="006F64FA" w:rsidP="006F64FA">
      <w:pPr>
        <w:pStyle w:val="ListBullet2"/>
      </w:pPr>
      <w:r w:rsidRPr="006F64FA">
        <w:t>Australian</w:t>
      </w:r>
      <w:r w:rsidRPr="006F64FA">
        <w:t xml:space="preserve"> Pharmaceutical Formulary and Handbook (APF)</w:t>
      </w:r>
    </w:p>
    <w:p w:rsidR="00000000" w:rsidRPr="006F64FA" w:rsidP="006F64FA">
      <w:pPr>
        <w:pStyle w:val="ListBullet2"/>
      </w:pPr>
      <w:r w:rsidRPr="006F64FA">
        <w:t>Monthly Index of Medical Specialities (MIMS) or AusDI Advanced</w:t>
      </w:r>
    </w:p>
    <w:p w:rsidR="00000000" w:rsidRPr="006F64FA" w:rsidP="006F64FA">
      <w:pPr>
        <w:pStyle w:val="ListBullet2"/>
      </w:pPr>
      <w:r w:rsidRPr="006F64FA">
        <w:t>Australian Medicines Handbook (AMH)</w:t>
      </w:r>
    </w:p>
    <w:p w:rsidR="00000000" w:rsidRPr="006F64FA" w:rsidP="006F64FA">
      <w:pPr>
        <w:pStyle w:val="ListBullet2"/>
      </w:pPr>
      <w:r w:rsidRPr="006F64FA">
        <w:t>Micromedex</w:t>
      </w:r>
    </w:p>
    <w:p w:rsidR="00000000" w:rsidRPr="006F64FA" w:rsidP="006F64FA">
      <w:pPr>
        <w:pStyle w:val="ListBullet"/>
      </w:pPr>
      <w:r w:rsidRPr="006F64FA">
        <w:t>the role of, and how to utilise authorised people with specific responsibilities:</w:t>
      </w:r>
    </w:p>
    <w:p w:rsidR="00000000" w:rsidRPr="006F64FA" w:rsidP="006F64FA">
      <w:pPr>
        <w:pStyle w:val="ListBullet2"/>
      </w:pPr>
      <w:r w:rsidRPr="006F64FA">
        <w:t>medicines information</w:t>
      </w:r>
    </w:p>
    <w:p w:rsidR="00000000" w:rsidRPr="006F64FA" w:rsidP="006F64FA">
      <w:pPr>
        <w:pStyle w:val="ListBullet2"/>
      </w:pPr>
      <w:r w:rsidRPr="006F64FA">
        <w:t>quality use of medicines</w:t>
      </w:r>
    </w:p>
    <w:p w:rsidR="00000000" w:rsidRPr="006F64FA" w:rsidP="006F64FA">
      <w:pPr>
        <w:pStyle w:val="ListBullet2"/>
      </w:pPr>
      <w:r w:rsidRPr="006F64FA">
        <w:t>medicines use evaluation</w:t>
      </w:r>
    </w:p>
    <w:p w:rsidR="00000000" w:rsidRPr="006F64FA" w:rsidP="006F64FA">
      <w:pPr>
        <w:pStyle w:val="ListBullet2"/>
      </w:pPr>
      <w:r w:rsidRPr="006F64FA">
        <w:t>clinical trials and clinical pharmacists</w:t>
      </w:r>
    </w:p>
    <w:p w:rsidR="00000000" w:rsidRPr="006F64FA" w:rsidP="006F64FA">
      <w:pPr>
        <w:pStyle w:val="ListBullet2"/>
      </w:pPr>
      <w:r w:rsidRPr="006F64FA">
        <w:t>pharmacy managers</w:t>
      </w:r>
    </w:p>
    <w:p w:rsidR="00000000" w:rsidRPr="006F64FA" w:rsidP="006F64FA">
      <w:pPr>
        <w:pStyle w:val="ListBullet"/>
      </w:pPr>
      <w:r w:rsidRPr="006F64FA">
        <w:t>order of referencing in presentation of information including primary, secondary, tertiary references</w:t>
      </w:r>
    </w:p>
    <w:p w:rsidR="00000000" w:rsidRPr="006F64FA" w:rsidP="006F64FA">
      <w:pPr>
        <w:pStyle w:val="ListBullet"/>
      </w:pPr>
      <w:r w:rsidRPr="006F64FA">
        <w:t>concept of medicines u</w:t>
      </w:r>
      <w:r w:rsidRPr="006F64FA">
        <w:t>se evaluation and the data recorded</w:t>
      </w:r>
    </w:p>
    <w:p w:rsidR="00000000" w:rsidRPr="006F64FA" w:rsidP="006F64FA">
      <w:pPr>
        <w:pStyle w:val="ListBullet"/>
      </w:pPr>
      <w:r w:rsidRPr="006F64FA">
        <w:t>concept of key performance indicators and data reported</w:t>
      </w:r>
    </w:p>
    <w:p w:rsidR="00000000" w:rsidRPr="006F64FA" w:rsidP="006F64FA">
      <w:pPr>
        <w:pStyle w:val="ListBullet"/>
      </w:pPr>
      <w:r w:rsidRPr="006F64FA">
        <w:t>pharmacy or health facility management systems and procedures related to the collection and presentation of workplace data and information</w:t>
      </w:r>
    </w:p>
    <w:p w:rsidR="00000000" w:rsidRPr="006F64FA" w:rsidP="006F64FA">
      <w:pPr>
        <w:pStyle w:val="ListBullet"/>
      </w:pPr>
      <w:r w:rsidRPr="006F64FA">
        <w:t>types of data and informa</w:t>
      </w:r>
      <w:r w:rsidRPr="006F64FA">
        <w:t>tion collected and presented in the pharmacy context:</w:t>
      </w:r>
    </w:p>
    <w:p w:rsidR="00000000" w:rsidRPr="006F64FA" w:rsidP="006F64FA">
      <w:pPr>
        <w:pStyle w:val="ListBullet2"/>
      </w:pPr>
      <w:r w:rsidRPr="006F64FA">
        <w:t>adverse drug reactions (ADR) and other medication incidents:</w:t>
      </w:r>
    </w:p>
    <w:p w:rsidR="00000000" w:rsidRPr="006F64FA" w:rsidP="006F64FA">
      <w:pPr>
        <w:pStyle w:val="ListBullet3"/>
      </w:pPr>
      <w:r w:rsidRPr="006F64FA">
        <w:t>data required for reporting</w:t>
      </w:r>
    </w:p>
    <w:p w:rsidR="00000000" w:rsidRPr="006F64FA" w:rsidP="006F64FA">
      <w:pPr>
        <w:pStyle w:val="ListBullet3"/>
      </w:pPr>
      <w:r w:rsidRPr="006F64FA">
        <w:t>meaning of ADR</w:t>
      </w:r>
    </w:p>
    <w:p w:rsidR="00000000" w:rsidRPr="006F64FA" w:rsidP="006F64FA">
      <w:pPr>
        <w:pStyle w:val="ListBullet3"/>
      </w:pPr>
      <w:r w:rsidRPr="006F64FA">
        <w:t>process for reporting</w:t>
      </w:r>
    </w:p>
    <w:p w:rsidR="00000000" w:rsidRPr="006F64FA" w:rsidP="006F64FA">
      <w:pPr>
        <w:pStyle w:val="ListBullet3"/>
      </w:pPr>
      <w:r w:rsidRPr="006F64FA">
        <w:t>purpose of reporting</w:t>
      </w:r>
    </w:p>
    <w:p w:rsidR="00000000" w:rsidRPr="006F64FA" w:rsidP="006F64FA">
      <w:pPr>
        <w:pStyle w:val="ListBullet2"/>
      </w:pPr>
      <w:r w:rsidRPr="006F64FA">
        <w:t>biochemical, haematological and microbiology tests:</w:t>
      </w:r>
    </w:p>
    <w:p w:rsidR="00000000" w:rsidRPr="006F64FA" w:rsidP="006F64FA">
      <w:pPr>
        <w:pStyle w:val="ListBullet3"/>
      </w:pPr>
      <w:r w:rsidRPr="006F64FA">
        <w:t>purpose of tests</w:t>
      </w:r>
    </w:p>
    <w:p w:rsidR="00000000" w:rsidRPr="006F64FA" w:rsidP="006F64FA">
      <w:pPr>
        <w:pStyle w:val="ListBullet3"/>
      </w:pPr>
      <w:r w:rsidRPr="006F64FA">
        <w:t>abbreviations used</w:t>
      </w:r>
    </w:p>
    <w:p w:rsidR="00000000" w:rsidRPr="006F64FA" w:rsidP="006F64FA">
      <w:pPr>
        <w:pStyle w:val="ListBullet3"/>
      </w:pPr>
      <w:r w:rsidRPr="006F64FA">
        <w:t>concept of reference range</w:t>
      </w:r>
    </w:p>
    <w:p w:rsidR="00000000" w:rsidRPr="006F64FA" w:rsidP="006F64FA">
      <w:pPr>
        <w:pStyle w:val="ListBullet"/>
      </w:pPr>
      <w:r w:rsidRPr="006F64FA">
        <w:t>clinical trials:</w:t>
      </w:r>
    </w:p>
    <w:p w:rsidR="00000000" w:rsidRPr="006F64FA" w:rsidP="006F64FA">
      <w:pPr>
        <w:pStyle w:val="ListBullet3"/>
      </w:pPr>
      <w:r w:rsidRPr="006F64FA">
        <w:t>purpose of collection of information and the data required</w:t>
      </w:r>
    </w:p>
    <w:p w:rsidR="00000000" w:rsidRPr="006F64FA" w:rsidP="006F64FA">
      <w:pPr>
        <w:pStyle w:val="ListBullet3"/>
      </w:pPr>
      <w:r w:rsidRPr="006F64FA">
        <w:t>importance of maintaining confidentiality and blinding</w:t>
      </w:r>
    </w:p>
    <w:p w:rsidR="00000000" w:rsidRPr="006F64FA" w:rsidP="006F64FA">
      <w:pPr>
        <w:pStyle w:val="ListBullet2"/>
      </w:pPr>
      <w:r w:rsidRPr="006F64FA">
        <w:t>meaning and pur</w:t>
      </w:r>
      <w:r w:rsidRPr="006F64FA">
        <w:t>pose of medication reconciliation and the potential sources of data used to identify a patient</w:t>
      </w:r>
      <w:r>
        <w:t>’</w:t>
      </w:r>
      <w:r w:rsidRPr="006F64FA">
        <w:t>s medication history and medication list</w:t>
      </w:r>
    </w:p>
    <w:p w:rsidR="00000000" w:rsidRPr="006F64FA" w:rsidP="006F64FA">
      <w:pPr>
        <w:pStyle w:val="ListBullet"/>
      </w:pPr>
      <w:r w:rsidRPr="006F64FA">
        <w:t>therapeutic drug monitoring:</w:t>
      </w:r>
    </w:p>
    <w:p w:rsidR="00000000" w:rsidRPr="006F64FA" w:rsidP="006F64FA">
      <w:pPr>
        <w:pStyle w:val="ListBullet2"/>
      </w:pPr>
      <w:r w:rsidRPr="006F64FA">
        <w:t>medications that require monitoring</w:t>
      </w:r>
    </w:p>
    <w:p w:rsidR="00000000" w:rsidRPr="006F64FA" w:rsidP="006F64FA">
      <w:pPr>
        <w:pStyle w:val="ListBullet2"/>
      </w:pPr>
      <w:r w:rsidRPr="006F64FA">
        <w:t>purpose of monitoring</w:t>
      </w:r>
    </w:p>
    <w:p w:rsidR="00000000" w:rsidRPr="006F64FA" w:rsidP="006F64FA">
      <w:pPr>
        <w:pStyle w:val="ListBullet2"/>
      </w:pPr>
      <w:r w:rsidRPr="006F64FA">
        <w:t>concept of therapeutic range</w:t>
      </w:r>
    </w:p>
    <w:p w:rsidR="00000000" w:rsidRPr="006F64FA" w:rsidP="006F64FA">
      <w:pPr>
        <w:pStyle w:val="ListBullet"/>
      </w:pPr>
      <w:r w:rsidRPr="006F64FA">
        <w:t>how to ensure patient data retrieved is for the correct patient:</w:t>
      </w:r>
    </w:p>
    <w:p w:rsidR="00000000" w:rsidRPr="006F64FA" w:rsidP="006F64FA">
      <w:pPr>
        <w:pStyle w:val="ListBullet2"/>
      </w:pPr>
      <w:r w:rsidRPr="006F64FA">
        <w:t>patient data interrogation and presentation:</w:t>
      </w:r>
    </w:p>
    <w:p w:rsidR="00000000" w:rsidRPr="006F64FA" w:rsidP="006F64FA">
      <w:pPr>
        <w:pStyle w:val="ListBullet2"/>
      </w:pPr>
      <w:r w:rsidRPr="006F64FA">
        <w:t>patient medical record number (MRN)</w:t>
      </w:r>
    </w:p>
    <w:p w:rsidR="00000000" w:rsidRPr="006F64FA" w:rsidP="006F64FA">
      <w:pPr>
        <w:pStyle w:val="ListBullet2"/>
      </w:pPr>
      <w:r w:rsidRPr="006F64FA">
        <w:t>concept of key performance indicators and data reported</w:t>
      </w:r>
    </w:p>
    <w:p w:rsidR="00000000" w:rsidRPr="006F64FA" w:rsidP="006F64FA">
      <w:pPr>
        <w:pStyle w:val="ListBullet2"/>
      </w:pPr>
      <w:r w:rsidRPr="006F64FA">
        <w:t>how to identify and access patient data</w:t>
      </w:r>
    </w:p>
    <w:p w:rsidR="00000000" w:rsidRPr="006F64FA" w:rsidP="006F64FA">
      <w:pPr>
        <w:pStyle w:val="ListBullet2"/>
      </w:pPr>
      <w:r w:rsidRPr="006F64FA">
        <w:t>concept of re</w:t>
      </w:r>
      <w:r w:rsidRPr="006F64FA">
        <w:t>ference range.</w:t>
      </w:r>
    </w:p>
    <w:p w:rsidR="00000000" w:rsidRPr="006F64FA" w:rsidP="006F64FA">
      <w:pPr>
        <w:pStyle w:val="AllowPageBreak"/>
      </w:pPr>
    </w:p>
    <w:p w:rsidR="00000000" w:rsidRPr="006F64FA" w:rsidP="006F64FA">
      <w:pPr>
        <w:pStyle w:val="Heading1"/>
      </w:pPr>
      <w:bookmarkStart w:id="4" w:name="O_1225432"/>
      <w:bookmarkEnd w:id="4"/>
      <w:r w:rsidRPr="006F64FA">
        <w:t>Assessment Conditions</w:t>
      </w:r>
    </w:p>
    <w:p w:rsidR="00000000" w:rsidRPr="006F64FA" w:rsidP="0018774D">
      <w:pPr>
        <w:pStyle w:val="BodyText"/>
      </w:pPr>
      <w:r w:rsidRPr="006F64FA">
        <w:t>Skills must be demonstrated in the workplace with the addition of simulations and scenarios where the full range of contexts and situations have not been provided in the workplace.</w:t>
      </w:r>
    </w:p>
    <w:p w:rsidR="00000000" w:rsidRPr="006F64FA" w:rsidP="0018774D">
      <w:pPr>
        <w:pStyle w:val="BodyText"/>
      </w:pPr>
      <w:r w:rsidRPr="006F64FA">
        <w:t>Assessment must ens</w:t>
      </w:r>
      <w:r w:rsidRPr="006F64FA">
        <w:t>ure access to:</w:t>
      </w:r>
    </w:p>
    <w:p w:rsidR="00000000" w:rsidRPr="006F64FA" w:rsidP="006F64FA">
      <w:pPr>
        <w:pStyle w:val="ListBullet"/>
      </w:pPr>
      <w:r w:rsidRPr="006F64FA">
        <w:t>use of suitable facilities, equipment and resources, including:</w:t>
      </w:r>
    </w:p>
    <w:p w:rsidR="00000000" w:rsidRPr="006F64FA" w:rsidP="006F64FA">
      <w:pPr>
        <w:pStyle w:val="ListBullet2"/>
      </w:pPr>
      <w:r w:rsidRPr="006F64FA">
        <w:t>computerised pharmacy administration system</w:t>
      </w:r>
    </w:p>
    <w:p w:rsidR="00000000" w:rsidRPr="006F64FA" w:rsidP="006F64FA">
      <w:pPr>
        <w:pStyle w:val="ListBullet2"/>
      </w:pPr>
      <w:r w:rsidRPr="006F64FA">
        <w:t>computerised access to patient information</w:t>
      </w:r>
    </w:p>
    <w:p w:rsidR="00000000" w:rsidRPr="006F64FA" w:rsidP="006F64FA">
      <w:pPr>
        <w:pStyle w:val="ListBullet"/>
      </w:pPr>
      <w:r w:rsidRPr="006F64FA">
        <w:t>modelling of industry operating conditions, including time constraints for completing a</w:t>
      </w:r>
      <w:r w:rsidRPr="006F64FA">
        <w:t>ctivities</w:t>
      </w:r>
    </w:p>
    <w:p w:rsidR="00000000" w:rsidRPr="006F64FA" w:rsidP="006F64FA">
      <w:pPr>
        <w:pStyle w:val="ListBullet"/>
      </w:pPr>
      <w:r w:rsidRPr="006F64FA">
        <w:t>authorised person with whom to consult.</w:t>
      </w:r>
    </w:p>
    <w:p w:rsidR="00000000" w:rsidRPr="006F64FA" w:rsidP="0018774D">
      <w:pPr>
        <w:pStyle w:val="BodyText"/>
      </w:pPr>
      <w:r w:rsidRPr="006F64FA">
        <w:t>Assessors must satisfy the Standards for Registered Training Organisations’ requirements for assessors.</w:t>
      </w:r>
    </w:p>
    <w:p w:rsidR="00000000" w:rsidRPr="006F64FA" w:rsidP="006F64FA">
      <w:pPr>
        <w:pStyle w:val="Heading1"/>
      </w:pPr>
      <w:bookmarkStart w:id="5" w:name="O_1225430"/>
      <w:bookmarkEnd w:id="5"/>
      <w:r w:rsidRPr="006F64FA">
        <w:t>Links</w:t>
      </w:r>
    </w:p>
    <w:p w:rsidR="00000000" w:rsidRPr="006F64FA" w:rsidP="0018774D">
      <w:pPr>
        <w:pStyle w:val="BodyText"/>
      </w:pPr>
      <w:r w:rsidRPr="006F64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E3F9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F64FA" w:rsidP="006F64FA"/>
    <w:sectPr w:rsidSect="006F64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4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4FA" w:rsidRPr="0018774D" w:rsidP="001877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4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74D" w:rsidP="006F64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774D" w:rsidP="006F64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8774D" w:rsidP="006F64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4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7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64FA" w:rsidRPr="0018774D" w:rsidP="001877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4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74D" w:rsidRPr="002D2AF8" w:rsidP="006F64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HLTPHA018 Support pharmacists in the collection and presentation of workplace data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8774D" w:rsidP="006F64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7A00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263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D626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4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64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4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4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4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4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4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4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4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4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4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4FA"/>
  </w:style>
  <w:style w:type="character" w:customStyle="1" w:styleId="Heading1Char">
    <w:name w:val="Heading 1 Char"/>
    <w:basedOn w:val="DefaultParagraphFont"/>
    <w:link w:val="Heading1"/>
    <w:rsid w:val="006F64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4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64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64F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64F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64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64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F64F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F64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64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64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6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6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6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64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64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4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4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4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4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64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64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64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64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4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64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64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64FA"/>
    <w:rPr>
      <w:b/>
      <w:spacing w:val="0"/>
    </w:rPr>
  </w:style>
  <w:style w:type="paragraph" w:customStyle="1" w:styleId="SuperTitle">
    <w:name w:val="SuperTitle"/>
    <w:basedOn w:val="Title"/>
    <w:rsid w:val="006F64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4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4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64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4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64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64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64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4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4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4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4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64FA"/>
    <w:rPr>
      <w:i/>
    </w:rPr>
  </w:style>
  <w:style w:type="paragraph" w:styleId="Caption">
    <w:name w:val="caption"/>
    <w:basedOn w:val="BodyText"/>
    <w:next w:val="Normal"/>
    <w:qFormat/>
    <w:rsid w:val="006F64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4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4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4FA"/>
  </w:style>
  <w:style w:type="paragraph" w:styleId="TableofFigures">
    <w:name w:val="table of figures"/>
    <w:basedOn w:val="Normal"/>
    <w:next w:val="Normal"/>
    <w:semiHidden/>
    <w:rsid w:val="006F64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4F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F64FA"/>
    <w:rPr>
      <w:rFonts w:ascii="Wingdings" w:hAnsi="Wingdings"/>
    </w:rPr>
  </w:style>
  <w:style w:type="paragraph" w:customStyle="1" w:styleId="TableHeading">
    <w:name w:val="Table Heading"/>
    <w:basedOn w:val="HeadingBase"/>
    <w:rsid w:val="006F64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64FA"/>
    <w:rPr>
      <w:color w:val="0033CC"/>
      <w:u w:val="none"/>
    </w:rPr>
  </w:style>
  <w:style w:type="paragraph" w:customStyle="1" w:styleId="BodyTextRight">
    <w:name w:val="Body Text Right"/>
    <w:basedOn w:val="BodyText"/>
    <w:rsid w:val="006F64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4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4F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4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4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64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64FA"/>
    <w:rPr>
      <w:sz w:val="32"/>
    </w:rPr>
  </w:style>
  <w:style w:type="paragraph" w:customStyle="1" w:styleId="HeadingProcedure">
    <w:name w:val="Heading Procedure"/>
    <w:basedOn w:val="HeadingBase"/>
    <w:next w:val="Normal"/>
    <w:rsid w:val="006F64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4FA"/>
    <w:pPr>
      <w:spacing w:before="60" w:after="60"/>
    </w:pPr>
  </w:style>
  <w:style w:type="paragraph" w:styleId="ListContinue">
    <w:name w:val="List Continue"/>
    <w:basedOn w:val="List"/>
    <w:rsid w:val="006F64FA"/>
    <w:pPr>
      <w:ind w:firstLine="0"/>
    </w:pPr>
  </w:style>
  <w:style w:type="paragraph" w:customStyle="1" w:styleId="ListNote">
    <w:name w:val="List Note"/>
    <w:basedOn w:val="List"/>
    <w:rsid w:val="006F64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4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4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64FA"/>
    <w:rPr>
      <w:rFonts w:ascii="Courier New" w:hAnsi="Courier New"/>
    </w:rPr>
  </w:style>
  <w:style w:type="paragraph" w:customStyle="1" w:styleId="NoteBullet">
    <w:name w:val="Note Bullet"/>
    <w:basedOn w:val="Note"/>
    <w:rsid w:val="006F64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4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4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4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4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F64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4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64FA"/>
    <w:rPr>
      <w:b/>
      <w:smallCaps/>
    </w:rPr>
  </w:style>
  <w:style w:type="paragraph" w:customStyle="1" w:styleId="TableListNumber">
    <w:name w:val="Table List Number"/>
    <w:basedOn w:val="ListNumber"/>
    <w:rsid w:val="006F64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4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4FA"/>
    <w:pPr>
      <w:numPr>
        <w:numId w:val="10"/>
      </w:numPr>
    </w:pPr>
  </w:style>
  <w:style w:type="paragraph" w:customStyle="1" w:styleId="ListAlpha2">
    <w:name w:val="List Alpha 2"/>
    <w:basedOn w:val="List2"/>
    <w:rsid w:val="006F64FA"/>
    <w:pPr>
      <w:numPr>
        <w:numId w:val="9"/>
      </w:numPr>
    </w:pPr>
  </w:style>
  <w:style w:type="paragraph" w:styleId="List2">
    <w:name w:val="List 2"/>
    <w:basedOn w:val="BodyText"/>
    <w:rsid w:val="006F64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4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4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4F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F64F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F64FA"/>
    <w:pPr>
      <w:numPr>
        <w:numId w:val="5"/>
      </w:numPr>
    </w:pPr>
  </w:style>
  <w:style w:type="paragraph" w:styleId="ListContinue2">
    <w:name w:val="List Continue 2"/>
    <w:basedOn w:val="List2"/>
    <w:rsid w:val="006F64FA"/>
    <w:pPr>
      <w:ind w:firstLine="0"/>
    </w:pPr>
  </w:style>
  <w:style w:type="paragraph" w:styleId="ListContinue3">
    <w:name w:val="List Continue 3"/>
    <w:basedOn w:val="List3"/>
    <w:rsid w:val="006F64FA"/>
    <w:pPr>
      <w:ind w:left="1021" w:firstLine="0"/>
    </w:pPr>
  </w:style>
  <w:style w:type="paragraph" w:styleId="ListContinue4">
    <w:name w:val="List Continue 4"/>
    <w:basedOn w:val="List4"/>
    <w:rsid w:val="006F64FA"/>
    <w:pPr>
      <w:ind w:firstLine="0"/>
    </w:pPr>
  </w:style>
  <w:style w:type="paragraph" w:styleId="ListContinue5">
    <w:name w:val="List Continue 5"/>
    <w:basedOn w:val="List5"/>
    <w:rsid w:val="006F64FA"/>
    <w:pPr>
      <w:ind w:firstLine="0"/>
    </w:pPr>
  </w:style>
  <w:style w:type="paragraph" w:styleId="ListNumber3">
    <w:name w:val="List Number 3"/>
    <w:basedOn w:val="List3"/>
    <w:rsid w:val="006F64FA"/>
    <w:pPr>
      <w:numPr>
        <w:numId w:val="6"/>
      </w:numPr>
    </w:pPr>
  </w:style>
  <w:style w:type="paragraph" w:styleId="ListNumber4">
    <w:name w:val="List Number 4"/>
    <w:basedOn w:val="List4"/>
    <w:rsid w:val="006F64FA"/>
    <w:pPr>
      <w:numPr>
        <w:numId w:val="7"/>
      </w:numPr>
    </w:pPr>
  </w:style>
  <w:style w:type="paragraph" w:styleId="ListNumber5">
    <w:name w:val="List Number 5"/>
    <w:basedOn w:val="List5"/>
    <w:rsid w:val="006F64FA"/>
    <w:pPr>
      <w:numPr>
        <w:numId w:val="8"/>
      </w:numPr>
    </w:pPr>
  </w:style>
  <w:style w:type="paragraph" w:styleId="BlockText">
    <w:name w:val="Block Text"/>
    <w:basedOn w:val="Normal"/>
    <w:rsid w:val="006F64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64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64FA"/>
    <w:rPr>
      <w:sz w:val="16"/>
      <w:vertAlign w:val="superscript"/>
    </w:rPr>
  </w:style>
  <w:style w:type="character" w:customStyle="1" w:styleId="Symbols">
    <w:name w:val="Symbols"/>
    <w:basedOn w:val="DefaultParagraphFont"/>
    <w:rsid w:val="006F64FA"/>
    <w:rPr>
      <w:rFonts w:ascii="Symbol" w:hAnsi="Symbol"/>
    </w:rPr>
  </w:style>
  <w:style w:type="character" w:customStyle="1" w:styleId="MenuOptions">
    <w:name w:val="Menu Options"/>
    <w:basedOn w:val="DefaultParagraphFont"/>
    <w:rsid w:val="006F64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64FA"/>
    <w:rPr>
      <w:b/>
    </w:rPr>
  </w:style>
  <w:style w:type="character" w:customStyle="1" w:styleId="Underlined">
    <w:name w:val="Underlined"/>
    <w:basedOn w:val="DefaultParagraphFont"/>
    <w:rsid w:val="006F64FA"/>
    <w:rPr>
      <w:u w:val="single"/>
    </w:rPr>
  </w:style>
  <w:style w:type="paragraph" w:customStyle="1" w:styleId="TableBodyTextRight">
    <w:name w:val="Table Body Text Right"/>
    <w:basedOn w:val="TableBodyText"/>
    <w:rsid w:val="006F64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4FA"/>
    <w:rPr>
      <w:sz w:val="18"/>
    </w:rPr>
  </w:style>
  <w:style w:type="paragraph" w:customStyle="1" w:styleId="BodySmallRight">
    <w:name w:val="Body Small Right"/>
    <w:basedOn w:val="BodyTextRight"/>
    <w:rsid w:val="006F64FA"/>
    <w:rPr>
      <w:sz w:val="18"/>
      <w:szCs w:val="18"/>
    </w:rPr>
  </w:style>
  <w:style w:type="paragraph" w:customStyle="1" w:styleId="MarginEdition">
    <w:name w:val="Margin Edition"/>
    <w:basedOn w:val="MarginNote"/>
    <w:rsid w:val="006F64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4FA"/>
    <w:rPr>
      <w:sz w:val="2"/>
      <w:szCs w:val="2"/>
    </w:rPr>
  </w:style>
  <w:style w:type="character" w:customStyle="1" w:styleId="Small">
    <w:name w:val="Small"/>
    <w:basedOn w:val="DefaultParagraphFont"/>
    <w:rsid w:val="006F64FA"/>
    <w:rPr>
      <w:sz w:val="16"/>
    </w:rPr>
  </w:style>
  <w:style w:type="paragraph" w:customStyle="1" w:styleId="WideTable">
    <w:name w:val="Wide Table"/>
    <w:basedOn w:val="Normal"/>
    <w:rsid w:val="006F64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64FA"/>
  </w:style>
  <w:style w:type="paragraph" w:styleId="Quote">
    <w:name w:val="Quote"/>
    <w:basedOn w:val="Heading1"/>
    <w:link w:val="QuoteChar"/>
    <w:qFormat/>
    <w:rsid w:val="006F64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64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4FA"/>
    <w:pPr>
      <w:pageBreakBefore/>
    </w:pPr>
  </w:style>
  <w:style w:type="paragraph" w:customStyle="1" w:styleId="Border">
    <w:name w:val="Border"/>
    <w:basedOn w:val="Normal"/>
    <w:qFormat/>
    <w:rsid w:val="006F64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64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4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4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64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64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4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4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4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64FA"/>
    <w:rPr>
      <w:u w:val="single"/>
    </w:rPr>
  </w:style>
  <w:style w:type="character" w:customStyle="1" w:styleId="BoldandItalics">
    <w:name w:val="Bold and Italics"/>
    <w:qFormat/>
    <w:rsid w:val="006F64FA"/>
    <w:rPr>
      <w:b/>
      <w:i/>
      <w:u w:val="none"/>
    </w:rPr>
  </w:style>
  <w:style w:type="paragraph" w:styleId="BalloonText">
    <w:name w:val="Balloon Text"/>
    <w:basedOn w:val="Normal"/>
    <w:link w:val="BalloonTextChar"/>
    <w:rsid w:val="006F64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4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64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64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64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64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64FA"/>
    <w:pPr>
      <w:spacing w:before="0" w:after="0"/>
    </w:pPr>
  </w:style>
  <w:style w:type="paragraph" w:customStyle="1" w:styleId="BodyTextBold">
    <w:name w:val="Body Text Bold"/>
    <w:basedOn w:val="BodyText"/>
    <w:qFormat/>
    <w:rsid w:val="006F64FA"/>
    <w:rPr>
      <w:b/>
    </w:rPr>
  </w:style>
  <w:style w:type="character" w:styleId="Hyperlink">
    <w:name w:val="Hyperlink"/>
    <w:basedOn w:val="DefaultParagraphFont"/>
    <w:uiPriority w:val="99"/>
    <w:unhideWhenUsed/>
    <w:rsid w:val="001877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4296</Characters>
  <Application>Microsoft Office Word</Application>
  <DocSecurity>0</DocSecurity>
  <Lines>113</Lines>
  <Paragraphs>93</Paragraphs>
  <ScaleCrop>false</ScaleCrop>
  <Company>Author-it Software Corporation Ltd.</Company>
  <LinksUpToDate>false</LinksUpToDate>
  <CharactersWithSpaces>4863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HLTPHA018 Support pharmacists in the collection and presentation of workplace data and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2023-07-01T04:04:00Z</dcterms:created>
  <dcterms:modified xsi:type="dcterms:W3CDTF">2023-07-01T04:04:00Z</dcterms:modified>
</cp:coreProperties>
</file>