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257" w:rsidP="009F325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HLTPHA017 Support pharmacist’s communication with patients and other health professionals</w:t>
      </w:r>
      <w:r>
        <w:fldChar w:fldCharType="end"/>
      </w:r>
    </w:p>
    <w:p w:rsidR="009F3257" w:rsidP="009F3257">
      <w:pPr>
        <w:pStyle w:val="Version"/>
        <w:sectPr w:rsidSect="00604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EED" w:rsidP="00604EED">
      <w:pPr>
        <w:pStyle w:val="SuperHeading"/>
      </w:pPr>
      <w:r w:rsidRPr="00604EED">
        <w:t>Assessment Requirements for HLTPHA017 Support pharmacist</w:t>
      </w:r>
      <w:r>
        <w:t>’</w:t>
      </w:r>
      <w:r w:rsidRPr="00604EED">
        <w:t>s communication with patients and other health professionals</w:t>
      </w:r>
    </w:p>
    <w:p w:rsidR="00000000" w:rsidRPr="00604EED" w:rsidP="00604EED">
      <w:pPr>
        <w:pStyle w:val="Heading1"/>
      </w:pPr>
      <w:bookmarkStart w:id="1" w:name="O_1225416"/>
      <w:bookmarkEnd w:id="1"/>
      <w:r w:rsidRPr="00604EED">
        <w:t>Modification History</w:t>
      </w:r>
    </w:p>
    <w:p w:rsidR="00000000" w:rsidRPr="00604EED" w:rsidP="009F3257">
      <w:pPr>
        <w:pStyle w:val="BodyText"/>
      </w:pPr>
      <w:r w:rsidRPr="00604EED">
        <w:t>Not applicable.</w:t>
      </w:r>
    </w:p>
    <w:p w:rsidR="00000000" w:rsidRPr="00604EED" w:rsidP="00604EED">
      <w:pPr>
        <w:pStyle w:val="Heading1"/>
      </w:pPr>
      <w:bookmarkStart w:id="2" w:name="O_1225419"/>
      <w:bookmarkEnd w:id="2"/>
      <w:r w:rsidRPr="00604EED">
        <w:t>Performance Evidence</w:t>
      </w:r>
    </w:p>
    <w:p w:rsidR="00000000" w:rsidRPr="00604EED" w:rsidP="009F3257">
      <w:pPr>
        <w:pStyle w:val="BodyText"/>
      </w:pPr>
      <w:r w:rsidRPr="00604EED">
        <w:t>Evidence of the ability to complete tasks outlined in elements and performance criteria of this unit in the context of the job role, and:</w:t>
      </w:r>
    </w:p>
    <w:p w:rsidR="00000000" w:rsidRPr="00604EED" w:rsidP="00604EED">
      <w:pPr>
        <w:pStyle w:val="ListBullet"/>
      </w:pPr>
      <w:r w:rsidRPr="00604EED">
        <w:t>comply with legislative and professional practice standards in the collection and provision of information for at lea</w:t>
      </w:r>
      <w:r w:rsidRPr="00604EED">
        <w:t>st 10 patients, using effective communication techniques to elicit and provide information in one-to-one communication, including:</w:t>
      </w:r>
    </w:p>
    <w:p w:rsidR="00000000" w:rsidRPr="00604EED" w:rsidP="00604EED">
      <w:pPr>
        <w:pStyle w:val="ListBullet2"/>
      </w:pPr>
      <w:r w:rsidRPr="00604EED">
        <w:t>listening actively</w:t>
      </w:r>
    </w:p>
    <w:p w:rsidR="00000000" w:rsidRPr="00604EED" w:rsidP="00604EED">
      <w:pPr>
        <w:pStyle w:val="ListBullet2"/>
      </w:pPr>
      <w:r w:rsidRPr="00604EED">
        <w:t>using techniques to establish rapport</w:t>
      </w:r>
    </w:p>
    <w:p w:rsidR="00000000" w:rsidRPr="00604EED" w:rsidP="00604EED">
      <w:pPr>
        <w:pStyle w:val="ListBullet2"/>
      </w:pPr>
      <w:r w:rsidRPr="00604EED">
        <w:t>using techniques to clarify meaning</w:t>
      </w:r>
    </w:p>
    <w:p w:rsidR="00000000" w:rsidRPr="00604EED" w:rsidP="00604EED">
      <w:pPr>
        <w:pStyle w:val="ListBullet2"/>
      </w:pPr>
      <w:r w:rsidRPr="00604EED">
        <w:t>providing clear, concise and co</w:t>
      </w:r>
      <w:r w:rsidRPr="00604EED">
        <w:t>rrect information both verbally and in writing</w:t>
      </w:r>
    </w:p>
    <w:p w:rsidR="00000000" w:rsidRPr="00604EED" w:rsidP="00604EED">
      <w:pPr>
        <w:pStyle w:val="ListBullet2"/>
      </w:pPr>
      <w:r w:rsidRPr="00604EED">
        <w:t>recognising and address issues of concern</w:t>
      </w:r>
    </w:p>
    <w:p w:rsidR="00000000" w:rsidRPr="00604EED" w:rsidP="00604EED">
      <w:pPr>
        <w:pStyle w:val="ListBullet2"/>
      </w:pPr>
      <w:r w:rsidRPr="00604EED">
        <w:t>identifying issues outside scope of own practice and refer to an authorised person</w:t>
      </w:r>
    </w:p>
    <w:p w:rsidR="00000000" w:rsidRPr="00604EED" w:rsidP="00604EED">
      <w:pPr>
        <w:pStyle w:val="ListBullet"/>
      </w:pPr>
      <w:r w:rsidRPr="00604EED">
        <w:t>provide information for at least 10 patients incorporating each of the following ac</w:t>
      </w:r>
      <w:r w:rsidRPr="00604EED">
        <w:t>tivities at least once:</w:t>
      </w:r>
    </w:p>
    <w:p w:rsidR="00000000" w:rsidRPr="00604EED" w:rsidP="00604EED">
      <w:pPr>
        <w:pStyle w:val="ListBullet2"/>
      </w:pPr>
      <w:r w:rsidRPr="00604EED">
        <w:t>best possible medication history (BPMH) on admission</w:t>
      </w:r>
    </w:p>
    <w:p w:rsidR="00000000" w:rsidRPr="00604EED" w:rsidP="00604EED">
      <w:pPr>
        <w:pStyle w:val="ListBullet2"/>
      </w:pPr>
      <w:r w:rsidRPr="00604EED">
        <w:t>medication list on discharge and other transitions of care</w:t>
      </w:r>
    </w:p>
    <w:p w:rsidR="00000000" w:rsidRPr="00604EED" w:rsidP="00604EED">
      <w:pPr>
        <w:pStyle w:val="ListBullet2"/>
      </w:pPr>
      <w:r w:rsidRPr="00604EED">
        <w:t>information for other healthcare professionals</w:t>
      </w:r>
    </w:p>
    <w:p w:rsidR="00000000" w:rsidRPr="00604EED" w:rsidP="00604EED">
      <w:pPr>
        <w:pStyle w:val="ListBullet"/>
      </w:pPr>
      <w:r w:rsidRPr="00604EED">
        <w:t xml:space="preserve">perform the activities outlined in the performance criteria of this unit during a period of at least 240 hours of work related to hospital or health services pharmacy support in a clinical workplace environment. These 240 hours may be applied collectively </w:t>
      </w:r>
      <w:r w:rsidRPr="00604EED">
        <w:t>across all units of competency that include the requirement for workplace hours for the purposes of assessment.</w:t>
      </w:r>
    </w:p>
    <w:p w:rsidR="00000000" w:rsidRPr="00604EED" w:rsidP="00604EED">
      <w:pPr>
        <w:pStyle w:val="AllowPageBreak"/>
      </w:pPr>
    </w:p>
    <w:p w:rsidR="00000000" w:rsidRPr="00604EED" w:rsidP="00604EED">
      <w:pPr>
        <w:pStyle w:val="Heading1"/>
      </w:pPr>
      <w:bookmarkStart w:id="3" w:name="O_1225418"/>
      <w:bookmarkEnd w:id="3"/>
      <w:r w:rsidRPr="00604EED">
        <w:t>Knowledge Evidence</w:t>
      </w:r>
    </w:p>
    <w:p w:rsidR="00000000" w:rsidRPr="00604EED" w:rsidP="009F3257">
      <w:pPr>
        <w:pStyle w:val="BodyText"/>
      </w:pPr>
      <w:r w:rsidRPr="00604EED">
        <w:t>Demonstrated knowledge required to complete the tasks outlined in elements and performance criteria of thi</w:t>
      </w:r>
      <w:r w:rsidRPr="00604EED">
        <w:t>s unit:</w:t>
      </w:r>
    </w:p>
    <w:p w:rsidR="00000000" w:rsidRPr="00604EED" w:rsidP="00604EED">
      <w:pPr>
        <w:pStyle w:val="ListBullet"/>
      </w:pPr>
      <w:r w:rsidRPr="00604EED">
        <w:t>National, State or Territory legal and ethical requirements for pharmacy work, and how these are applied in organisations, including:</w:t>
      </w:r>
    </w:p>
    <w:p w:rsidR="00000000" w:rsidRPr="00604EED" w:rsidP="00604EED">
      <w:pPr>
        <w:pStyle w:val="ListBullet2"/>
      </w:pPr>
      <w:r w:rsidRPr="00604EED">
        <w:t>codes of conduct</w:t>
      </w:r>
    </w:p>
    <w:p w:rsidR="00000000" w:rsidRPr="00604EED" w:rsidP="00604EED">
      <w:pPr>
        <w:pStyle w:val="ListBullet2"/>
      </w:pPr>
      <w:r w:rsidRPr="00604EED">
        <w:t>duty of care and implications of negligence</w:t>
      </w:r>
    </w:p>
    <w:p w:rsidR="00000000" w:rsidRPr="00604EED" w:rsidP="00604EED">
      <w:pPr>
        <w:pStyle w:val="ListBullet2"/>
      </w:pPr>
      <w:r w:rsidRPr="00604EED">
        <w:t>informed consent</w:t>
      </w:r>
    </w:p>
    <w:p w:rsidR="00000000" w:rsidRPr="00604EED" w:rsidP="00604EED">
      <w:pPr>
        <w:pStyle w:val="ListBullet2"/>
      </w:pPr>
      <w:r w:rsidRPr="00604EED">
        <w:t>privacy, confidentiality and discl</w:t>
      </w:r>
      <w:r w:rsidRPr="00604EED">
        <w:t>osure</w:t>
      </w:r>
    </w:p>
    <w:p w:rsidR="00000000" w:rsidRPr="00604EED" w:rsidP="00604EED">
      <w:pPr>
        <w:pStyle w:val="ListBullet2"/>
      </w:pPr>
      <w:r w:rsidRPr="00604EED">
        <w:t>records management</w:t>
      </w:r>
    </w:p>
    <w:p w:rsidR="00000000" w:rsidRPr="00604EED" w:rsidP="00604EED">
      <w:pPr>
        <w:pStyle w:val="ListBullet2"/>
      </w:pPr>
      <w:r w:rsidRPr="00604EED">
        <w:t>rights and responsibilities of workers, employers and patients</w:t>
      </w:r>
    </w:p>
    <w:p w:rsidR="00000000" w:rsidRPr="00604EED" w:rsidP="00604EED">
      <w:pPr>
        <w:pStyle w:val="ListBullet2"/>
      </w:pPr>
      <w:r w:rsidRPr="00604EED">
        <w:t>specific legislation:</w:t>
      </w:r>
    </w:p>
    <w:p w:rsidR="00000000" w:rsidRPr="00604EED" w:rsidP="00604EED">
      <w:pPr>
        <w:pStyle w:val="ListBullet3"/>
      </w:pPr>
      <w:r w:rsidRPr="00604EED">
        <w:t>medication and their use</w:t>
      </w:r>
    </w:p>
    <w:p w:rsidR="00000000" w:rsidRPr="00604EED" w:rsidP="00604EED">
      <w:pPr>
        <w:pStyle w:val="ListBullet3"/>
      </w:pPr>
      <w:r w:rsidRPr="00604EED">
        <w:t>the practice of pharmacy</w:t>
      </w:r>
    </w:p>
    <w:p w:rsidR="00000000" w:rsidRPr="00604EED" w:rsidP="00604EED">
      <w:pPr>
        <w:pStyle w:val="ListBullet3"/>
      </w:pPr>
      <w:r w:rsidRPr="00604EED">
        <w:t>different schedules of medication and pharmaceutical products</w:t>
      </w:r>
    </w:p>
    <w:p w:rsidR="00000000" w:rsidRPr="00604EED" w:rsidP="00604EED">
      <w:pPr>
        <w:pStyle w:val="ListBullet2"/>
      </w:pPr>
      <w:r w:rsidRPr="00604EED">
        <w:t>working within own scope of practice, including limitations of individual work role responsibilities, when to refer to an authorised person and the type of information able to be provided:</w:t>
      </w:r>
    </w:p>
    <w:p w:rsidR="00000000" w:rsidRPr="00604EED" w:rsidP="00604EED">
      <w:pPr>
        <w:pStyle w:val="ListBullet3"/>
      </w:pPr>
      <w:r w:rsidRPr="00604EED">
        <w:t>Consumer Medicines Information (CMI)</w:t>
      </w:r>
    </w:p>
    <w:p w:rsidR="00000000" w:rsidRPr="00604EED" w:rsidP="00604EED">
      <w:pPr>
        <w:pStyle w:val="ListBullet3"/>
      </w:pPr>
      <w:r w:rsidRPr="00604EED">
        <w:t>confirmation of appointment d</w:t>
      </w:r>
      <w:r w:rsidRPr="00604EED">
        <w:t>ate and time</w:t>
      </w:r>
    </w:p>
    <w:p w:rsidR="00000000" w:rsidRPr="00604EED" w:rsidP="00604EED">
      <w:pPr>
        <w:pStyle w:val="ListBullet3"/>
      </w:pPr>
      <w:r w:rsidRPr="00604EED">
        <w:t>standardised workplace approved information for patients</w:t>
      </w:r>
    </w:p>
    <w:p w:rsidR="00000000" w:rsidRPr="00604EED" w:rsidP="00604EED">
      <w:pPr>
        <w:pStyle w:val="ListBullet2"/>
      </w:pPr>
      <w:r w:rsidRPr="00604EED">
        <w:t>work health and safety</w:t>
      </w:r>
    </w:p>
    <w:p w:rsidR="00000000" w:rsidRPr="00604EED" w:rsidP="00604EED">
      <w:pPr>
        <w:pStyle w:val="ListBullet"/>
      </w:pPr>
      <w:r w:rsidRPr="00604EED">
        <w:t>purpose and scope of patient education to aid compliance with administration of medication</w:t>
      </w:r>
    </w:p>
    <w:p w:rsidR="00000000" w:rsidRPr="00604EED" w:rsidP="00604EED">
      <w:pPr>
        <w:pStyle w:val="ListBullet"/>
      </w:pPr>
      <w:r w:rsidRPr="00604EED">
        <w:t>procedures for patient identification and confirmation of identification</w:t>
      </w:r>
    </w:p>
    <w:p w:rsidR="00000000" w:rsidRPr="00604EED" w:rsidP="00604EED">
      <w:pPr>
        <w:pStyle w:val="ListBullet"/>
      </w:pPr>
      <w:r w:rsidRPr="00604EED">
        <w:t>Consumer Medicines Information (CMI):</w:t>
      </w:r>
    </w:p>
    <w:p w:rsidR="00000000" w:rsidRPr="00604EED" w:rsidP="00604EED">
      <w:pPr>
        <w:pStyle w:val="ListBullet2"/>
      </w:pPr>
      <w:r w:rsidRPr="00604EED">
        <w:t>purpose and layout</w:t>
      </w:r>
    </w:p>
    <w:p w:rsidR="00000000" w:rsidRPr="00604EED" w:rsidP="00604EED">
      <w:pPr>
        <w:pStyle w:val="ListBullet2"/>
      </w:pPr>
      <w:r w:rsidRPr="00604EED">
        <w:t>sources of pharmacy computer system, National Prescribing Services online CMI search</w:t>
      </w:r>
    </w:p>
    <w:p w:rsidR="00000000" w:rsidRPr="00604EED" w:rsidP="00604EED">
      <w:pPr>
        <w:pStyle w:val="ListBullet"/>
      </w:pPr>
      <w:r w:rsidRPr="00604EED">
        <w:t>types of and requirements for documenta</w:t>
      </w:r>
      <w:r w:rsidRPr="00604EED">
        <w:t>tion:</w:t>
      </w:r>
    </w:p>
    <w:p w:rsidR="00000000" w:rsidRPr="00604EED" w:rsidP="00604EED">
      <w:pPr>
        <w:pStyle w:val="ListBullet2"/>
      </w:pPr>
      <w:r w:rsidRPr="00604EED">
        <w:t>best possible medication history (BPMH)</w:t>
      </w:r>
    </w:p>
    <w:p w:rsidR="00000000" w:rsidRPr="00604EED" w:rsidP="00604EED">
      <w:pPr>
        <w:pStyle w:val="ListBullet2"/>
      </w:pPr>
      <w:r w:rsidRPr="00604EED">
        <w:t>assessment of patient’s ability to manage medications</w:t>
      </w:r>
    </w:p>
    <w:p w:rsidR="00000000" w:rsidRPr="00604EED" w:rsidP="00604EED">
      <w:pPr>
        <w:pStyle w:val="ListBullet2"/>
      </w:pPr>
      <w:r w:rsidRPr="00604EED">
        <w:t>list of medications brought into hospital or to the health services provider</w:t>
      </w:r>
    </w:p>
    <w:p w:rsidR="00000000" w:rsidRPr="00604EED" w:rsidP="00604EED">
      <w:pPr>
        <w:pStyle w:val="ListBullet2"/>
      </w:pPr>
      <w:r w:rsidRPr="00604EED">
        <w:t>that CMI or other medication related information has been issued to patient or</w:t>
      </w:r>
      <w:r w:rsidRPr="00604EED">
        <w:t xml:space="preserve"> carer</w:t>
      </w:r>
    </w:p>
    <w:p w:rsidR="00000000" w:rsidRPr="00604EED" w:rsidP="00604EED">
      <w:pPr>
        <w:pStyle w:val="ListBullet"/>
      </w:pPr>
      <w:r w:rsidRPr="00604EED">
        <w:t>principles of effective communication, including recognition and solutions for communication and language difficulties</w:t>
      </w:r>
    </w:p>
    <w:p w:rsidR="00000000" w:rsidRPr="00604EED" w:rsidP="00604EED">
      <w:pPr>
        <w:pStyle w:val="ListBullet"/>
      </w:pPr>
      <w:r w:rsidRPr="00604EED">
        <w:t>features of current medication lists, purpose and layout</w:t>
      </w:r>
    </w:p>
    <w:p w:rsidR="00000000" w:rsidRPr="00604EED" w:rsidP="00604EED">
      <w:pPr>
        <w:pStyle w:val="ListBullet"/>
      </w:pPr>
      <w:r w:rsidRPr="00604EED">
        <w:t>sources and method of preparation of electronic and hard copy informatio</w:t>
      </w:r>
      <w:r w:rsidRPr="00604EED">
        <w:t>n</w:t>
      </w:r>
    </w:p>
    <w:p w:rsidR="00000000" w:rsidRPr="00604EED" w:rsidP="00604EED">
      <w:pPr>
        <w:pStyle w:val="ListBullet"/>
      </w:pPr>
      <w:r w:rsidRPr="00604EED">
        <w:t>purpose of, and methods for, standardised assessment of patient’s ability to manage medications</w:t>
      </w:r>
    </w:p>
    <w:p w:rsidR="00000000" w:rsidRPr="00604EED" w:rsidP="00604EED">
      <w:pPr>
        <w:pStyle w:val="ListBullet"/>
      </w:pPr>
      <w:r w:rsidRPr="00604EED">
        <w:t>factors that affect patient’s ability to manage medications, including special needs related to:</w:t>
      </w:r>
    </w:p>
    <w:p w:rsidR="00000000" w:rsidRPr="00604EED" w:rsidP="00604EED">
      <w:pPr>
        <w:pStyle w:val="ListBullet2"/>
      </w:pPr>
      <w:r w:rsidRPr="00604EED">
        <w:t>communication environment and context</w:t>
      </w:r>
    </w:p>
    <w:p w:rsidR="00000000" w:rsidRPr="00604EED" w:rsidP="00604EED">
      <w:pPr>
        <w:pStyle w:val="ListBullet2"/>
      </w:pPr>
      <w:r w:rsidRPr="00604EED">
        <w:t>cognitive ability</w:t>
      </w:r>
    </w:p>
    <w:p w:rsidR="00000000" w:rsidRPr="00604EED" w:rsidP="00604EED">
      <w:pPr>
        <w:pStyle w:val="ListBullet2"/>
      </w:pPr>
      <w:r w:rsidRPr="00604EED">
        <w:t>cultural or language barriers</w:t>
      </w:r>
    </w:p>
    <w:p w:rsidR="00000000" w:rsidRPr="00604EED" w:rsidP="00604EED">
      <w:pPr>
        <w:pStyle w:val="ListBullet"/>
      </w:pPr>
      <w:r w:rsidRPr="00604EED">
        <w:t>purposes of different medication groups, including:</w:t>
      </w:r>
    </w:p>
    <w:p w:rsidR="00000000" w:rsidRPr="00604EED" w:rsidP="00604EED">
      <w:pPr>
        <w:pStyle w:val="ListBullet2"/>
      </w:pPr>
      <w:r w:rsidRPr="00604EED">
        <w:t>analgesics and anti-inflammatory agents</w:t>
      </w:r>
    </w:p>
    <w:p w:rsidR="00000000" w:rsidRPr="00604EED" w:rsidP="00604EED">
      <w:pPr>
        <w:pStyle w:val="ListBullet2"/>
      </w:pPr>
      <w:r w:rsidRPr="00604EED">
        <w:t>anti-coagulants</w:t>
      </w:r>
    </w:p>
    <w:p w:rsidR="00000000" w:rsidRPr="00604EED" w:rsidP="00604EED">
      <w:pPr>
        <w:pStyle w:val="ListBullet2"/>
      </w:pPr>
      <w:r w:rsidRPr="00604EED">
        <w:t>anti-depressants</w:t>
      </w:r>
    </w:p>
    <w:p w:rsidR="00000000" w:rsidRPr="00604EED" w:rsidP="00604EED">
      <w:pPr>
        <w:pStyle w:val="ListBullet2"/>
      </w:pPr>
      <w:r w:rsidRPr="00604EED">
        <w:t>anti-diabetic agents</w:t>
      </w:r>
    </w:p>
    <w:p w:rsidR="00000000" w:rsidRPr="00604EED" w:rsidP="00604EED">
      <w:pPr>
        <w:pStyle w:val="ListBullet2"/>
      </w:pPr>
      <w:r w:rsidRPr="00604EED">
        <w:t>anti-epileptics</w:t>
      </w:r>
    </w:p>
    <w:p w:rsidR="00000000" w:rsidRPr="00604EED" w:rsidP="00604EED">
      <w:pPr>
        <w:pStyle w:val="ListBullet2"/>
      </w:pPr>
      <w:r w:rsidRPr="00604EED">
        <w:t>anti-gout agents</w:t>
      </w:r>
    </w:p>
    <w:p w:rsidR="00000000" w:rsidRPr="00604EED" w:rsidP="00604EED">
      <w:pPr>
        <w:pStyle w:val="ListBullet2"/>
      </w:pPr>
      <w:r w:rsidRPr="00604EED">
        <w:t>anti-histamines</w:t>
      </w:r>
    </w:p>
    <w:p w:rsidR="00000000" w:rsidRPr="00604EED" w:rsidP="00604EED">
      <w:pPr>
        <w:pStyle w:val="ListBullet2"/>
      </w:pPr>
      <w:r w:rsidRPr="00604EED">
        <w:t>anti-hypertensives</w:t>
      </w:r>
    </w:p>
    <w:p w:rsidR="00000000" w:rsidRPr="00604EED" w:rsidP="00604EED">
      <w:pPr>
        <w:pStyle w:val="ListBullet2"/>
      </w:pPr>
      <w:r w:rsidRPr="00604EED">
        <w:t>anxiolytic</w:t>
      </w:r>
      <w:r w:rsidRPr="00604EED">
        <w:t>s and hypnotics</w:t>
      </w:r>
    </w:p>
    <w:p w:rsidR="00000000" w:rsidRPr="00604EED" w:rsidP="00604EED">
      <w:pPr>
        <w:pStyle w:val="ListBullet2"/>
      </w:pPr>
      <w:r w:rsidRPr="00604EED">
        <w:t>asthma treating agents</w:t>
      </w:r>
    </w:p>
    <w:p w:rsidR="00000000" w:rsidRPr="00604EED" w:rsidP="00604EED">
      <w:pPr>
        <w:pStyle w:val="ListBullet2"/>
      </w:pPr>
      <w:r w:rsidRPr="00604EED">
        <w:t>cholesterol and lipid lowering agents</w:t>
      </w:r>
    </w:p>
    <w:p w:rsidR="00000000" w:rsidRPr="00604EED" w:rsidP="00604EED">
      <w:pPr>
        <w:pStyle w:val="ListBullet2"/>
      </w:pPr>
      <w:r w:rsidRPr="00604EED">
        <w:t>corticosteroids</w:t>
      </w:r>
    </w:p>
    <w:p w:rsidR="00000000" w:rsidRPr="00604EED" w:rsidP="00604EED">
      <w:pPr>
        <w:pStyle w:val="ListBullet2"/>
      </w:pPr>
      <w:r w:rsidRPr="00604EED">
        <w:t>cytotoxics</w:t>
      </w:r>
    </w:p>
    <w:p w:rsidR="00000000" w:rsidRPr="00604EED" w:rsidP="00604EED">
      <w:pPr>
        <w:pStyle w:val="ListBullet2"/>
      </w:pPr>
      <w:r w:rsidRPr="00604EED">
        <w:t>diuretics</w:t>
      </w:r>
    </w:p>
    <w:p w:rsidR="00000000" w:rsidRPr="00604EED" w:rsidP="00604EED">
      <w:pPr>
        <w:pStyle w:val="ListBullet2"/>
      </w:pPr>
      <w:r w:rsidRPr="00604EED">
        <w:t>gastro-intestinal agents</w:t>
      </w:r>
    </w:p>
    <w:p w:rsidR="00000000" w:rsidRPr="00604EED" w:rsidP="00604EED">
      <w:pPr>
        <w:pStyle w:val="ListBullet2"/>
      </w:pPr>
      <w:r w:rsidRPr="00604EED">
        <w:t>heart medication</w:t>
      </w:r>
    </w:p>
    <w:p w:rsidR="00000000" w:rsidRPr="00604EED" w:rsidP="00604EED">
      <w:pPr>
        <w:pStyle w:val="ListBullet2"/>
      </w:pPr>
      <w:r w:rsidRPr="00604EED">
        <w:t>hormonal medication</w:t>
      </w:r>
    </w:p>
    <w:p w:rsidR="00000000" w:rsidRPr="00604EED" w:rsidP="00604EED">
      <w:pPr>
        <w:pStyle w:val="ListBullet2"/>
      </w:pPr>
      <w:r w:rsidRPr="00604EED">
        <w:t>osteoporosis medication</w:t>
      </w:r>
    </w:p>
    <w:p w:rsidR="00000000" w:rsidRPr="00604EED" w:rsidP="00604EED">
      <w:pPr>
        <w:pStyle w:val="ListBullet2"/>
      </w:pPr>
      <w:r w:rsidRPr="00604EED">
        <w:t>viral and anti-bacterial agents, anti-fungals or antibiotics</w:t>
      </w:r>
    </w:p>
    <w:p w:rsidR="00000000" w:rsidRPr="00604EED" w:rsidP="00604EED">
      <w:pPr>
        <w:pStyle w:val="ListBullet"/>
      </w:pPr>
      <w:r w:rsidRPr="00604EED">
        <w:t>concept of medication:</w:t>
      </w:r>
    </w:p>
    <w:p w:rsidR="00000000" w:rsidRPr="00604EED" w:rsidP="00604EED">
      <w:pPr>
        <w:pStyle w:val="ListBullet2"/>
      </w:pPr>
      <w:r w:rsidRPr="00604EED">
        <w:t>medication interactions</w:t>
      </w:r>
    </w:p>
    <w:p w:rsidR="00000000" w:rsidRPr="00604EED" w:rsidP="00604EED">
      <w:pPr>
        <w:pStyle w:val="ListBullet"/>
      </w:pPr>
      <w:r w:rsidRPr="00604EED">
        <w:t>medication food interactions and incompatibilities.</w:t>
      </w:r>
    </w:p>
    <w:p w:rsidR="00000000" w:rsidRPr="00604EED" w:rsidP="00604EED">
      <w:pPr>
        <w:pStyle w:val="AllowPageBreak"/>
      </w:pPr>
    </w:p>
    <w:p w:rsidR="00000000" w:rsidRPr="00604EED" w:rsidP="00604EED">
      <w:pPr>
        <w:pStyle w:val="Heading1"/>
      </w:pPr>
      <w:bookmarkStart w:id="4" w:name="O_1225417"/>
      <w:bookmarkEnd w:id="4"/>
      <w:r w:rsidRPr="00604EED">
        <w:t>Assessment Conditions</w:t>
      </w:r>
    </w:p>
    <w:p w:rsidR="00000000" w:rsidRPr="00604EED" w:rsidP="009F3257">
      <w:pPr>
        <w:pStyle w:val="BodyText"/>
      </w:pPr>
      <w:r w:rsidRPr="00604EED">
        <w:t>Skills must be demonstrated in the workplace with th</w:t>
      </w:r>
      <w:r w:rsidRPr="00604EED">
        <w:t>e addition of simulations and scenarios where the full range of contexts and situations have not been provided in the workplace.</w:t>
      </w:r>
    </w:p>
    <w:p w:rsidR="00000000" w:rsidRPr="00604EED" w:rsidP="009F3257">
      <w:pPr>
        <w:pStyle w:val="BodyText"/>
      </w:pPr>
      <w:r w:rsidRPr="00604EED">
        <w:t>Assessment must ensure access to:</w:t>
      </w:r>
    </w:p>
    <w:p w:rsidR="00000000" w:rsidRPr="00604EED" w:rsidP="00604EED">
      <w:pPr>
        <w:pStyle w:val="ListBullet"/>
      </w:pPr>
      <w:r w:rsidRPr="00604EED">
        <w:t>use of suitable facilities, equipment and resources, including CMI</w:t>
      </w:r>
    </w:p>
    <w:p w:rsidR="00000000" w:rsidRPr="00604EED" w:rsidP="00604EED">
      <w:pPr>
        <w:pStyle w:val="ListBullet"/>
      </w:pPr>
      <w:r w:rsidRPr="00604EED">
        <w:t>modelling of industry operating conditions, including communication with patients and health professionals</w:t>
      </w:r>
    </w:p>
    <w:p w:rsidR="00000000" w:rsidRPr="00604EED" w:rsidP="00604EED">
      <w:pPr>
        <w:pStyle w:val="ListBullet"/>
      </w:pPr>
      <w:r w:rsidRPr="00604EED">
        <w:t>authorised person with whom to consult.</w:t>
      </w:r>
    </w:p>
    <w:p w:rsidR="00000000" w:rsidRPr="00604EED" w:rsidP="009F3257">
      <w:pPr>
        <w:pStyle w:val="BodyText"/>
      </w:pPr>
      <w:r w:rsidRPr="00604EED">
        <w:t>Assessors must satisfy the Standards for Registered Training Organisations’ requirements for assessors.</w:t>
      </w:r>
    </w:p>
    <w:p w:rsidR="00000000" w:rsidRPr="00604EED" w:rsidP="00604EED">
      <w:pPr>
        <w:pStyle w:val="Heading1"/>
      </w:pPr>
      <w:bookmarkStart w:id="5" w:name="O_1225415"/>
      <w:bookmarkEnd w:id="5"/>
      <w:r w:rsidRPr="00604EED">
        <w:t>Links</w:t>
      </w:r>
    </w:p>
    <w:p w:rsidR="00000000" w:rsidRPr="00604EED" w:rsidP="009F3257">
      <w:pPr>
        <w:pStyle w:val="BodyText"/>
      </w:pPr>
      <w:r w:rsidRPr="00604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77F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04EED" w:rsidP="00604EED"/>
    <w:sectPr w:rsidSect="00604E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ED" w:rsidRPr="009F3257" w:rsidP="009F325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57" w:rsidP="00604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257" w:rsidP="00604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3257" w:rsidP="00604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EED" w:rsidRPr="009F3257" w:rsidP="009F3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57" w:rsidRPr="002D2AF8" w:rsidP="00604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HLTPHA017 Support pharmacist's communication with patients and other health professionals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F3257" w:rsidP="00604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321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49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EE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EED"/>
  </w:style>
  <w:style w:type="character" w:customStyle="1" w:styleId="Heading1Char">
    <w:name w:val="Heading 1 Char"/>
    <w:basedOn w:val="DefaultParagraphFont"/>
    <w:link w:val="Heading1"/>
    <w:rsid w:val="00604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E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E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4E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4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EED"/>
    <w:rPr>
      <w:b/>
      <w:spacing w:val="0"/>
    </w:rPr>
  </w:style>
  <w:style w:type="paragraph" w:customStyle="1" w:styleId="SuperTitle">
    <w:name w:val="SuperTitle"/>
    <w:basedOn w:val="Title"/>
    <w:rsid w:val="00604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EED"/>
    <w:rPr>
      <w:i/>
    </w:rPr>
  </w:style>
  <w:style w:type="paragraph" w:styleId="Caption">
    <w:name w:val="caption"/>
    <w:basedOn w:val="BodyText"/>
    <w:next w:val="Normal"/>
    <w:qFormat/>
    <w:rsid w:val="00604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EED"/>
  </w:style>
  <w:style w:type="paragraph" w:styleId="TableofFigures">
    <w:name w:val="table of figures"/>
    <w:basedOn w:val="Normal"/>
    <w:next w:val="Normal"/>
    <w:semiHidden/>
    <w:rsid w:val="00604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E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4EED"/>
    <w:rPr>
      <w:rFonts w:ascii="Wingdings" w:hAnsi="Wingdings"/>
    </w:rPr>
  </w:style>
  <w:style w:type="paragraph" w:customStyle="1" w:styleId="TableHeading">
    <w:name w:val="Table Heading"/>
    <w:basedOn w:val="HeadingBase"/>
    <w:rsid w:val="00604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EED"/>
    <w:rPr>
      <w:color w:val="0033CC"/>
      <w:u w:val="none"/>
    </w:rPr>
  </w:style>
  <w:style w:type="paragraph" w:customStyle="1" w:styleId="BodyTextRight">
    <w:name w:val="Body Text Right"/>
    <w:basedOn w:val="BodyText"/>
    <w:rsid w:val="00604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E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EED"/>
    <w:rPr>
      <w:sz w:val="32"/>
    </w:rPr>
  </w:style>
  <w:style w:type="paragraph" w:customStyle="1" w:styleId="HeadingProcedure">
    <w:name w:val="Heading Procedure"/>
    <w:basedOn w:val="HeadingBase"/>
    <w:next w:val="Normal"/>
    <w:rsid w:val="00604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EED"/>
    <w:pPr>
      <w:spacing w:before="60" w:after="60"/>
    </w:pPr>
  </w:style>
  <w:style w:type="paragraph" w:styleId="ListContinue">
    <w:name w:val="List Continue"/>
    <w:basedOn w:val="List"/>
    <w:rsid w:val="00604EED"/>
    <w:pPr>
      <w:ind w:firstLine="0"/>
    </w:pPr>
  </w:style>
  <w:style w:type="paragraph" w:customStyle="1" w:styleId="ListNote">
    <w:name w:val="List Note"/>
    <w:basedOn w:val="List"/>
    <w:rsid w:val="00604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EED"/>
    <w:rPr>
      <w:rFonts w:ascii="Courier New" w:hAnsi="Courier New"/>
    </w:rPr>
  </w:style>
  <w:style w:type="paragraph" w:customStyle="1" w:styleId="NoteBullet">
    <w:name w:val="Note Bullet"/>
    <w:basedOn w:val="Note"/>
    <w:rsid w:val="00604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E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4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EED"/>
    <w:rPr>
      <w:b/>
      <w:smallCaps/>
    </w:rPr>
  </w:style>
  <w:style w:type="paragraph" w:customStyle="1" w:styleId="TableListNumber">
    <w:name w:val="Table List Number"/>
    <w:basedOn w:val="ListNumber"/>
    <w:rsid w:val="00604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EED"/>
    <w:pPr>
      <w:numPr>
        <w:numId w:val="10"/>
      </w:numPr>
    </w:pPr>
  </w:style>
  <w:style w:type="paragraph" w:customStyle="1" w:styleId="ListAlpha2">
    <w:name w:val="List Alpha 2"/>
    <w:basedOn w:val="List2"/>
    <w:rsid w:val="00604EED"/>
    <w:pPr>
      <w:numPr>
        <w:numId w:val="9"/>
      </w:numPr>
    </w:pPr>
  </w:style>
  <w:style w:type="paragraph" w:styleId="List2">
    <w:name w:val="List 2"/>
    <w:basedOn w:val="BodyText"/>
    <w:rsid w:val="00604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E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4E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4EED"/>
    <w:pPr>
      <w:numPr>
        <w:numId w:val="5"/>
      </w:numPr>
    </w:pPr>
  </w:style>
  <w:style w:type="paragraph" w:styleId="ListContinue2">
    <w:name w:val="List Continue 2"/>
    <w:basedOn w:val="List2"/>
    <w:rsid w:val="00604EED"/>
    <w:pPr>
      <w:ind w:firstLine="0"/>
    </w:pPr>
  </w:style>
  <w:style w:type="paragraph" w:styleId="ListContinue3">
    <w:name w:val="List Continue 3"/>
    <w:basedOn w:val="List3"/>
    <w:rsid w:val="00604EED"/>
    <w:pPr>
      <w:ind w:left="1021" w:firstLine="0"/>
    </w:pPr>
  </w:style>
  <w:style w:type="paragraph" w:styleId="ListContinue4">
    <w:name w:val="List Continue 4"/>
    <w:basedOn w:val="List4"/>
    <w:rsid w:val="00604EED"/>
    <w:pPr>
      <w:ind w:firstLine="0"/>
    </w:pPr>
  </w:style>
  <w:style w:type="paragraph" w:styleId="ListContinue5">
    <w:name w:val="List Continue 5"/>
    <w:basedOn w:val="List5"/>
    <w:rsid w:val="00604EED"/>
    <w:pPr>
      <w:ind w:firstLine="0"/>
    </w:pPr>
  </w:style>
  <w:style w:type="paragraph" w:styleId="ListNumber3">
    <w:name w:val="List Number 3"/>
    <w:basedOn w:val="List3"/>
    <w:rsid w:val="00604EED"/>
    <w:pPr>
      <w:numPr>
        <w:numId w:val="6"/>
      </w:numPr>
    </w:pPr>
  </w:style>
  <w:style w:type="paragraph" w:styleId="ListNumber4">
    <w:name w:val="List Number 4"/>
    <w:basedOn w:val="List4"/>
    <w:rsid w:val="00604EED"/>
    <w:pPr>
      <w:numPr>
        <w:numId w:val="7"/>
      </w:numPr>
    </w:pPr>
  </w:style>
  <w:style w:type="paragraph" w:styleId="ListNumber5">
    <w:name w:val="List Number 5"/>
    <w:basedOn w:val="List5"/>
    <w:rsid w:val="00604EED"/>
    <w:pPr>
      <w:numPr>
        <w:numId w:val="8"/>
      </w:numPr>
    </w:pPr>
  </w:style>
  <w:style w:type="paragraph" w:styleId="BlockText">
    <w:name w:val="Block Text"/>
    <w:basedOn w:val="Normal"/>
    <w:rsid w:val="00604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EED"/>
    <w:rPr>
      <w:sz w:val="16"/>
      <w:vertAlign w:val="superscript"/>
    </w:rPr>
  </w:style>
  <w:style w:type="character" w:customStyle="1" w:styleId="Symbols">
    <w:name w:val="Symbols"/>
    <w:basedOn w:val="DefaultParagraphFont"/>
    <w:rsid w:val="00604EED"/>
    <w:rPr>
      <w:rFonts w:ascii="Symbol" w:hAnsi="Symbol"/>
    </w:rPr>
  </w:style>
  <w:style w:type="character" w:customStyle="1" w:styleId="MenuOptions">
    <w:name w:val="Menu Options"/>
    <w:basedOn w:val="DefaultParagraphFont"/>
    <w:rsid w:val="00604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EED"/>
    <w:rPr>
      <w:b/>
    </w:rPr>
  </w:style>
  <w:style w:type="character" w:customStyle="1" w:styleId="Underlined">
    <w:name w:val="Underlined"/>
    <w:basedOn w:val="DefaultParagraphFont"/>
    <w:rsid w:val="00604EED"/>
    <w:rPr>
      <w:u w:val="single"/>
    </w:rPr>
  </w:style>
  <w:style w:type="paragraph" w:customStyle="1" w:styleId="TableBodyTextRight">
    <w:name w:val="Table Body Text Right"/>
    <w:basedOn w:val="TableBodyText"/>
    <w:rsid w:val="00604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EED"/>
    <w:rPr>
      <w:sz w:val="18"/>
    </w:rPr>
  </w:style>
  <w:style w:type="paragraph" w:customStyle="1" w:styleId="BodySmallRight">
    <w:name w:val="Body Small Right"/>
    <w:basedOn w:val="BodyTextRight"/>
    <w:rsid w:val="00604EED"/>
    <w:rPr>
      <w:sz w:val="18"/>
      <w:szCs w:val="18"/>
    </w:rPr>
  </w:style>
  <w:style w:type="paragraph" w:customStyle="1" w:styleId="MarginEdition">
    <w:name w:val="Margin Edition"/>
    <w:basedOn w:val="MarginNote"/>
    <w:rsid w:val="00604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EED"/>
    <w:rPr>
      <w:sz w:val="2"/>
      <w:szCs w:val="2"/>
    </w:rPr>
  </w:style>
  <w:style w:type="character" w:customStyle="1" w:styleId="Small">
    <w:name w:val="Small"/>
    <w:basedOn w:val="DefaultParagraphFont"/>
    <w:rsid w:val="00604EED"/>
    <w:rPr>
      <w:sz w:val="16"/>
    </w:rPr>
  </w:style>
  <w:style w:type="paragraph" w:customStyle="1" w:styleId="WideTable">
    <w:name w:val="Wide Table"/>
    <w:basedOn w:val="Normal"/>
    <w:rsid w:val="00604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EED"/>
  </w:style>
  <w:style w:type="paragraph" w:styleId="Quote">
    <w:name w:val="Quote"/>
    <w:basedOn w:val="Heading1"/>
    <w:link w:val="QuoteChar"/>
    <w:qFormat/>
    <w:rsid w:val="00604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EED"/>
    <w:pPr>
      <w:pageBreakBefore/>
    </w:pPr>
  </w:style>
  <w:style w:type="paragraph" w:customStyle="1" w:styleId="Border">
    <w:name w:val="Border"/>
    <w:basedOn w:val="Normal"/>
    <w:qFormat/>
    <w:rsid w:val="00604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EED"/>
    <w:rPr>
      <w:u w:val="single"/>
    </w:rPr>
  </w:style>
  <w:style w:type="character" w:customStyle="1" w:styleId="BoldandItalics">
    <w:name w:val="Bold and Italics"/>
    <w:qFormat/>
    <w:rsid w:val="00604EED"/>
    <w:rPr>
      <w:b/>
      <w:i/>
      <w:u w:val="none"/>
    </w:rPr>
  </w:style>
  <w:style w:type="paragraph" w:styleId="BalloonText">
    <w:name w:val="Balloon Text"/>
    <w:basedOn w:val="Normal"/>
    <w:link w:val="BalloonTextChar"/>
    <w:rsid w:val="00604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EED"/>
    <w:pPr>
      <w:spacing w:before="0" w:after="0"/>
    </w:pPr>
  </w:style>
  <w:style w:type="paragraph" w:customStyle="1" w:styleId="BodyTextBold">
    <w:name w:val="Body Text Bold"/>
    <w:basedOn w:val="BodyText"/>
    <w:qFormat/>
    <w:rsid w:val="00604EED"/>
    <w:rPr>
      <w:b/>
    </w:rPr>
  </w:style>
  <w:style w:type="character" w:styleId="Hyperlink">
    <w:name w:val="Hyperlink"/>
    <w:basedOn w:val="DefaultParagraphFont"/>
    <w:uiPriority w:val="99"/>
    <w:unhideWhenUsed/>
    <w:rsid w:val="009F3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4506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HLTPHA017 Support pharmacist's communication with patients and other health professionals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2023-07-02T01:53:00Z</dcterms:created>
  <dcterms:modified xsi:type="dcterms:W3CDTF">2023-07-02T01:53:00Z</dcterms:modified>
</cp:coreProperties>
</file>