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8AE" w:rsidP="003148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HLTPHA014 Conduct small-scale compounding and labelling of pharmaceutical products</w:t>
      </w:r>
      <w:r>
        <w:fldChar w:fldCharType="end"/>
      </w:r>
    </w:p>
    <w:p w:rsidR="003148AE" w:rsidP="003148AE">
      <w:pPr>
        <w:pStyle w:val="Version"/>
        <w:sectPr w:rsidSect="00F249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4983" w:rsidP="00F24983">
      <w:pPr>
        <w:pStyle w:val="SuperHeading"/>
      </w:pPr>
      <w:r w:rsidRPr="00F24983">
        <w:t>Assessment Requirements for HLTPHA014 Conduct small-scale compounding and labelling of pharmaceutical products</w:t>
      </w:r>
    </w:p>
    <w:p w:rsidR="00000000" w:rsidRPr="00F24983" w:rsidP="00F24983">
      <w:pPr>
        <w:pStyle w:val="Heading1"/>
      </w:pPr>
      <w:bookmarkStart w:id="1" w:name="O_1225371"/>
      <w:bookmarkEnd w:id="1"/>
      <w:r w:rsidRPr="00F24983">
        <w:t>Modification History</w:t>
      </w:r>
    </w:p>
    <w:p w:rsidR="00000000" w:rsidRPr="00F24983" w:rsidP="003148AE">
      <w:pPr>
        <w:pStyle w:val="BodyText"/>
      </w:pPr>
      <w:r w:rsidRPr="00F24983">
        <w:t>Not applicable.</w:t>
      </w:r>
    </w:p>
    <w:p w:rsidR="00000000" w:rsidRPr="00F24983" w:rsidP="00F24983">
      <w:pPr>
        <w:pStyle w:val="Heading1"/>
      </w:pPr>
      <w:bookmarkStart w:id="2" w:name="O_1225374"/>
      <w:bookmarkEnd w:id="2"/>
      <w:r w:rsidRPr="00F24983">
        <w:t>Performance Evidence</w:t>
      </w:r>
    </w:p>
    <w:p w:rsidR="00000000" w:rsidRPr="00F24983" w:rsidP="003148AE">
      <w:pPr>
        <w:pStyle w:val="BodyText"/>
      </w:pPr>
      <w:r w:rsidRPr="00F24983">
        <w:t>Evidence of the ability to complete tasks outlined in elements and performance criteria of this unit in the context of the job role, and:</w:t>
      </w:r>
    </w:p>
    <w:p w:rsidR="00000000" w:rsidRPr="00F24983" w:rsidP="00F24983">
      <w:pPr>
        <w:pStyle w:val="ListBullet"/>
      </w:pPr>
      <w:r w:rsidRPr="00F24983">
        <w:t>follow workplace procedures and industry codes to correctly and safely compound and label at least 5 different batche</w:t>
      </w:r>
      <w:r w:rsidRPr="00F24983">
        <w:t>s of pharmaceutical products listed in the Australian Pharmaceutical Formulary and Handbook (APF)</w:t>
      </w:r>
    </w:p>
    <w:p w:rsidR="00000000" w:rsidRPr="00F24983" w:rsidP="00F24983">
      <w:pPr>
        <w:pStyle w:val="ListBullet"/>
      </w:pPr>
      <w:r w:rsidRPr="00F24983">
        <w:t>interpret standard pharmaceutical references</w:t>
      </w:r>
    </w:p>
    <w:p w:rsidR="00000000" w:rsidRPr="00F24983" w:rsidP="00F24983">
      <w:pPr>
        <w:pStyle w:val="ListBullet"/>
      </w:pPr>
      <w:r w:rsidRPr="00F24983">
        <w:t>identify issues outside scope of own practice and refer to an authorised person</w:t>
      </w:r>
    </w:p>
    <w:p w:rsidR="00000000" w:rsidRPr="00F24983" w:rsidP="00F24983">
      <w:pPr>
        <w:pStyle w:val="ListBullet"/>
      </w:pPr>
      <w:r w:rsidRPr="00F24983">
        <w:t>perform the activities outlined i</w:t>
      </w:r>
      <w:r w:rsidRPr="00F24983">
        <w:t>n the performance criteria of this unit during a period of at least 240 hours of work related to hospital or health services pharmacy support in a clinical workplace environment. These 240 hours may be applied collectively across all units of competency th</w:t>
      </w:r>
      <w:r w:rsidRPr="00F24983">
        <w:t>at include the requirement for workplace hours for the purposes of assessment.</w:t>
      </w:r>
    </w:p>
    <w:p w:rsidR="00000000" w:rsidRPr="00F24983" w:rsidP="00F24983">
      <w:pPr>
        <w:pStyle w:val="AllowPageBreak"/>
      </w:pPr>
    </w:p>
    <w:p w:rsidR="00000000" w:rsidRPr="00F24983" w:rsidP="00F24983">
      <w:pPr>
        <w:pStyle w:val="Heading1"/>
      </w:pPr>
      <w:bookmarkStart w:id="3" w:name="O_1225373"/>
      <w:bookmarkEnd w:id="3"/>
      <w:r w:rsidRPr="00F24983">
        <w:t>Knowledge Evidence</w:t>
      </w:r>
    </w:p>
    <w:p w:rsidR="00000000" w:rsidRPr="00F24983" w:rsidP="003148AE">
      <w:pPr>
        <w:pStyle w:val="BodyText"/>
      </w:pPr>
      <w:r w:rsidRPr="00F24983">
        <w:t>Demonstrated knowledge required to complete the tasks outlined in elements and performance criteria of this unit:</w:t>
      </w:r>
    </w:p>
    <w:p w:rsidR="00000000" w:rsidRPr="00F24983" w:rsidP="00F24983">
      <w:pPr>
        <w:pStyle w:val="ListBullet"/>
      </w:pPr>
      <w:r w:rsidRPr="00F24983">
        <w:t>National, State or Terri</w:t>
      </w:r>
      <w:r w:rsidRPr="00F24983">
        <w:t>tory legal and ethical requirements for pharmacy work, and how these are applied in organisations, including:</w:t>
      </w:r>
    </w:p>
    <w:p w:rsidR="00000000" w:rsidRPr="00F24983" w:rsidP="00F24983">
      <w:pPr>
        <w:pStyle w:val="ListBullet2"/>
      </w:pPr>
      <w:r w:rsidRPr="00F24983">
        <w:t>codes of conduct</w:t>
      </w:r>
    </w:p>
    <w:p w:rsidR="00000000" w:rsidRPr="00F24983" w:rsidP="00F24983">
      <w:pPr>
        <w:pStyle w:val="ListBullet2"/>
      </w:pPr>
      <w:r w:rsidRPr="00F24983">
        <w:t>personal protection equipment (PPE)</w:t>
      </w:r>
    </w:p>
    <w:p w:rsidR="00000000" w:rsidRPr="00F24983" w:rsidP="00F24983">
      <w:pPr>
        <w:pStyle w:val="ListBullet2"/>
      </w:pPr>
      <w:r w:rsidRPr="00F24983">
        <w:t>duty of care and implications of negligence</w:t>
      </w:r>
    </w:p>
    <w:p w:rsidR="00000000" w:rsidRPr="00F24983" w:rsidP="00F24983">
      <w:pPr>
        <w:pStyle w:val="ListBullet2"/>
      </w:pPr>
      <w:r w:rsidRPr="00F24983">
        <w:t>privacy, confidentiality and disclosure</w:t>
      </w:r>
    </w:p>
    <w:p w:rsidR="00000000" w:rsidRPr="00F24983" w:rsidP="00F24983">
      <w:pPr>
        <w:pStyle w:val="ListBullet2"/>
      </w:pPr>
      <w:r w:rsidRPr="00F24983">
        <w:t>records management</w:t>
      </w:r>
    </w:p>
    <w:p w:rsidR="00000000" w:rsidRPr="00F24983" w:rsidP="00F24983">
      <w:pPr>
        <w:pStyle w:val="ListBullet2"/>
      </w:pPr>
      <w:r w:rsidRPr="00F24983">
        <w:t>rights and responsibilities of workers, employers and patients</w:t>
      </w:r>
    </w:p>
    <w:p w:rsidR="00000000" w:rsidRPr="00F24983" w:rsidP="00F24983">
      <w:pPr>
        <w:pStyle w:val="ListBullet2"/>
      </w:pPr>
      <w:r w:rsidRPr="00F24983">
        <w:t>specific legislation:</w:t>
      </w:r>
    </w:p>
    <w:p w:rsidR="00000000" w:rsidRPr="00F24983" w:rsidP="00F24983">
      <w:pPr>
        <w:pStyle w:val="ListBullet3"/>
      </w:pPr>
      <w:r w:rsidRPr="00F24983">
        <w:t>medication and their use</w:t>
      </w:r>
    </w:p>
    <w:p w:rsidR="00000000" w:rsidRPr="00F24983" w:rsidP="00F24983">
      <w:pPr>
        <w:pStyle w:val="ListBullet3"/>
      </w:pPr>
      <w:r w:rsidRPr="00F24983">
        <w:t>the practice of pharmacy</w:t>
      </w:r>
    </w:p>
    <w:p w:rsidR="00000000" w:rsidRPr="00F24983" w:rsidP="00F24983">
      <w:pPr>
        <w:pStyle w:val="ListBullet3"/>
      </w:pPr>
      <w:r w:rsidRPr="00F24983">
        <w:t>different schedules of medication and pharmaceutical products</w:t>
      </w:r>
    </w:p>
    <w:p w:rsidR="00000000" w:rsidRPr="00F24983" w:rsidP="00F24983">
      <w:pPr>
        <w:pStyle w:val="ListBullet2"/>
      </w:pPr>
      <w:r w:rsidRPr="00F24983">
        <w:t>work role boundaries including respons</w:t>
      </w:r>
      <w:r w:rsidRPr="00F24983">
        <w:t>ibilities and limitations in compounding products</w:t>
      </w:r>
    </w:p>
    <w:p w:rsidR="00000000" w:rsidRPr="00F24983" w:rsidP="00F24983">
      <w:pPr>
        <w:pStyle w:val="ListBullet2"/>
      </w:pPr>
      <w:r w:rsidRPr="00F24983">
        <w:t>work health and safety</w:t>
      </w:r>
    </w:p>
    <w:p w:rsidR="00000000" w:rsidRPr="00F24983" w:rsidP="00F24983">
      <w:pPr>
        <w:pStyle w:val="ListBullet"/>
      </w:pPr>
      <w:r w:rsidRPr="00F24983">
        <w:t>key information in standard pharmaceutical references and their use in compounding, including:</w:t>
      </w:r>
    </w:p>
    <w:p w:rsidR="00000000" w:rsidRPr="00F24983" w:rsidP="00F24983">
      <w:pPr>
        <w:pStyle w:val="ListBullet2"/>
      </w:pPr>
      <w:r w:rsidRPr="00F24983">
        <w:t xml:space="preserve">Australian Pharmaceutical Formulary Handbook (APF) </w:t>
      </w:r>
    </w:p>
    <w:p w:rsidR="00000000" w:rsidRPr="00F24983" w:rsidP="00F24983">
      <w:pPr>
        <w:pStyle w:val="ListBullet2"/>
      </w:pPr>
      <w:r w:rsidRPr="00F24983">
        <w:t xml:space="preserve">Monthly Index of Medical Specialities (MIMS) or AusDI Advanced </w:t>
      </w:r>
    </w:p>
    <w:p w:rsidR="00000000" w:rsidRPr="00F24983" w:rsidP="00F24983">
      <w:pPr>
        <w:pStyle w:val="ListBullet2"/>
      </w:pPr>
      <w:r w:rsidRPr="00F24983">
        <w:t>Australian Medicines Handbook (AMH)</w:t>
      </w:r>
    </w:p>
    <w:p w:rsidR="00000000" w:rsidRPr="00F24983" w:rsidP="00F24983">
      <w:pPr>
        <w:pStyle w:val="ListBullet2"/>
      </w:pPr>
      <w:r w:rsidRPr="00F24983">
        <w:t>Micromedex</w:t>
      </w:r>
    </w:p>
    <w:p w:rsidR="00000000" w:rsidRPr="00F24983" w:rsidP="00F24983">
      <w:pPr>
        <w:pStyle w:val="ListBullet"/>
      </w:pPr>
      <w:r w:rsidRPr="00F24983">
        <w:t>rationale for, and key features of:</w:t>
      </w:r>
    </w:p>
    <w:p w:rsidR="00000000" w:rsidRPr="00F24983" w:rsidP="00F24983">
      <w:pPr>
        <w:pStyle w:val="ListBullet2"/>
      </w:pPr>
      <w:r w:rsidRPr="00F24983">
        <w:t>The Society of Hospital Pharmacists (SHPA) Guidelines for Medicines Prepared in Australian Hospital Pharmac</w:t>
      </w:r>
      <w:r w:rsidRPr="00F24983">
        <w:t>y Departments</w:t>
      </w:r>
    </w:p>
    <w:p w:rsidR="00000000" w:rsidRPr="00F24983" w:rsidP="00F24983">
      <w:pPr>
        <w:pStyle w:val="ListBullet2"/>
      </w:pPr>
      <w:r w:rsidRPr="00F24983">
        <w:t>Pharmaceutical Inspection Convention and Pharmaceutical Inspection Co-operation Scheme (PIC/S) Guide to Good Practices for the Preparation of Medicinal Products in Healthcare Establishments</w:t>
      </w:r>
    </w:p>
    <w:p w:rsidR="00000000" w:rsidRPr="00F24983" w:rsidP="00F24983">
      <w:pPr>
        <w:pStyle w:val="ListBullet"/>
      </w:pPr>
      <w:r w:rsidRPr="00F24983">
        <w:t>product identification and handling, including thos</w:t>
      </w:r>
      <w:r w:rsidRPr="00F24983">
        <w:t>e for:</w:t>
      </w:r>
    </w:p>
    <w:p w:rsidR="00000000" w:rsidRPr="00F24983" w:rsidP="00F24983">
      <w:pPr>
        <w:pStyle w:val="ListBullet2"/>
      </w:pPr>
      <w:r w:rsidRPr="00F24983">
        <w:t>formulary medication and non-formulary medication</w:t>
      </w:r>
    </w:p>
    <w:p w:rsidR="00000000" w:rsidRPr="00F24983" w:rsidP="00F24983">
      <w:pPr>
        <w:pStyle w:val="ListBullet2"/>
      </w:pPr>
      <w:r w:rsidRPr="00F24983">
        <w:t>products with the required integrity as well as those whose integrity has been compromised</w:t>
      </w:r>
    </w:p>
    <w:p w:rsidR="00000000" w:rsidRPr="00F24983" w:rsidP="00F24983">
      <w:pPr>
        <w:pStyle w:val="ListBullet2"/>
      </w:pPr>
      <w:r w:rsidRPr="00F24983">
        <w:t xml:space="preserve">routine of handling products and products requiring special handling </w:t>
      </w:r>
    </w:p>
    <w:p w:rsidR="00000000" w:rsidRPr="00F24983" w:rsidP="00F24983">
      <w:pPr>
        <w:pStyle w:val="ListBullet"/>
      </w:pPr>
      <w:r w:rsidRPr="00F24983">
        <w:t>nature and use of different dosage f</w:t>
      </w:r>
      <w:r w:rsidRPr="00F24983">
        <w:t>orms including:</w:t>
      </w:r>
    </w:p>
    <w:p w:rsidR="00000000" w:rsidRPr="00F24983" w:rsidP="00F24983">
      <w:pPr>
        <w:pStyle w:val="ListBullet2"/>
      </w:pPr>
      <w:r w:rsidRPr="00F24983">
        <w:t>oral</w:t>
      </w:r>
    </w:p>
    <w:p w:rsidR="00000000" w:rsidRPr="00F24983" w:rsidP="00F24983">
      <w:pPr>
        <w:pStyle w:val="ListBullet2"/>
      </w:pPr>
      <w:r w:rsidRPr="00F24983">
        <w:t xml:space="preserve">parenteral products </w:t>
      </w:r>
    </w:p>
    <w:p w:rsidR="00000000" w:rsidRPr="00F24983" w:rsidP="00F24983">
      <w:pPr>
        <w:pStyle w:val="ListBullet2"/>
      </w:pPr>
      <w:r w:rsidRPr="00F24983">
        <w:t>topical</w:t>
      </w:r>
    </w:p>
    <w:p w:rsidR="00000000" w:rsidRPr="00F24983" w:rsidP="00F24983">
      <w:pPr>
        <w:pStyle w:val="ListBullet"/>
      </w:pPr>
      <w:r w:rsidRPr="00F24983">
        <w:t>infection control requirements for small scale compounding of pharmaceutical products, including:</w:t>
      </w:r>
    </w:p>
    <w:p w:rsidR="00000000" w:rsidRPr="00F24983" w:rsidP="00F24983">
      <w:pPr>
        <w:pStyle w:val="ListBullet2"/>
      </w:pPr>
      <w:r w:rsidRPr="00F24983">
        <w:t xml:space="preserve">correct disposal of sharps and residues </w:t>
      </w:r>
    </w:p>
    <w:p w:rsidR="00000000" w:rsidRPr="00F24983" w:rsidP="00F24983">
      <w:pPr>
        <w:pStyle w:val="ListBullet2"/>
      </w:pPr>
      <w:r w:rsidRPr="00F24983">
        <w:t>cleaning and disinfection processes</w:t>
      </w:r>
    </w:p>
    <w:p w:rsidR="00000000" w:rsidRPr="00F24983" w:rsidP="00F24983">
      <w:pPr>
        <w:pStyle w:val="ListBullet2"/>
      </w:pPr>
      <w:r w:rsidRPr="00F24983">
        <w:t>personal hygiene</w:t>
      </w:r>
    </w:p>
    <w:p w:rsidR="00000000" w:rsidRPr="00F24983" w:rsidP="00F24983">
      <w:pPr>
        <w:pStyle w:val="ListBullet2"/>
      </w:pPr>
      <w:r w:rsidRPr="00F24983">
        <w:t>sources and types of contamination and required responses including microbial, cross-chemical, physical, environmental and corrective strategies</w:t>
      </w:r>
    </w:p>
    <w:p w:rsidR="00000000" w:rsidRPr="00F24983" w:rsidP="00F24983">
      <w:pPr>
        <w:pStyle w:val="ListBullet"/>
      </w:pPr>
      <w:r w:rsidRPr="00F24983">
        <w:t>compounding processes relating to small scale compounding, including:</w:t>
      </w:r>
    </w:p>
    <w:p w:rsidR="00000000" w:rsidRPr="00F24983" w:rsidP="00F24983">
      <w:pPr>
        <w:pStyle w:val="ListBullet2"/>
      </w:pPr>
      <w:r w:rsidRPr="00F24983">
        <w:t>nature and use of oral and topical dosa</w:t>
      </w:r>
      <w:r w:rsidRPr="00F24983">
        <w:t>ge forms</w:t>
      </w:r>
    </w:p>
    <w:p w:rsidR="00000000" w:rsidRPr="00F24983" w:rsidP="00F24983">
      <w:pPr>
        <w:pStyle w:val="ListBullet2"/>
      </w:pPr>
      <w:r w:rsidRPr="00F24983">
        <w:t>chemical and physical properties of raw materials in relation to formulation and compounding</w:t>
      </w:r>
    </w:p>
    <w:p w:rsidR="00000000" w:rsidRPr="00F24983" w:rsidP="00F24983">
      <w:pPr>
        <w:pStyle w:val="ListBullet2"/>
      </w:pPr>
      <w:r w:rsidRPr="00F24983">
        <w:t>types of equipment, their key features and use</w:t>
      </w:r>
    </w:p>
    <w:p w:rsidR="00000000" w:rsidRPr="00F24983" w:rsidP="00F24983">
      <w:pPr>
        <w:pStyle w:val="ListBullet2"/>
      </w:pPr>
      <w:r w:rsidRPr="00F24983">
        <w:t>compounding of a product according to a work sheet</w:t>
      </w:r>
    </w:p>
    <w:p w:rsidR="00000000" w:rsidRPr="00F24983" w:rsidP="00F24983">
      <w:pPr>
        <w:pStyle w:val="ListBullet2"/>
      </w:pPr>
      <w:r w:rsidRPr="00F24983">
        <w:t>principles and procedures of formulae calculations, weig</w:t>
      </w:r>
      <w:r w:rsidRPr="00F24983">
        <w:t>hts and measures</w:t>
      </w:r>
    </w:p>
    <w:p w:rsidR="00000000" w:rsidRPr="00F24983" w:rsidP="00F24983">
      <w:pPr>
        <w:pStyle w:val="ListBullet2"/>
      </w:pPr>
      <w:r w:rsidRPr="00F24983">
        <w:t>processes for dilution, suspension, incorporation and reconstitution</w:t>
      </w:r>
    </w:p>
    <w:p w:rsidR="00000000" w:rsidRPr="00F24983" w:rsidP="00F24983">
      <w:pPr>
        <w:pStyle w:val="ListBullet"/>
      </w:pPr>
      <w:r w:rsidRPr="00F24983">
        <w:t>risk considerations and procedures for pharmaceutical compounding:</w:t>
      </w:r>
    </w:p>
    <w:p w:rsidR="00000000" w:rsidRPr="00F24983" w:rsidP="00F24983">
      <w:pPr>
        <w:pStyle w:val="ListBullet2"/>
      </w:pPr>
      <w:r w:rsidRPr="00F24983">
        <w:t>product security</w:t>
      </w:r>
    </w:p>
    <w:p w:rsidR="00000000" w:rsidRPr="00F24983" w:rsidP="00F24983">
      <w:pPr>
        <w:pStyle w:val="ListBullet2"/>
      </w:pPr>
      <w:r w:rsidRPr="00F24983">
        <w:t>handling and storage of hazardous materials</w:t>
      </w:r>
    </w:p>
    <w:p w:rsidR="00000000" w:rsidRPr="00F24983" w:rsidP="00F24983">
      <w:pPr>
        <w:pStyle w:val="ListBullet2"/>
      </w:pPr>
      <w:r w:rsidRPr="00F24983">
        <w:t>quarantine periods</w:t>
      </w:r>
    </w:p>
    <w:p w:rsidR="00000000" w:rsidRPr="00F24983" w:rsidP="00F24983">
      <w:pPr>
        <w:pStyle w:val="ListBullet"/>
      </w:pPr>
      <w:r w:rsidRPr="00F24983">
        <w:t>requirements for formulated compounding documentation</w:t>
      </w:r>
    </w:p>
    <w:p w:rsidR="00000000" w:rsidRPr="00F24983" w:rsidP="00F24983">
      <w:pPr>
        <w:pStyle w:val="ListBullet2"/>
      </w:pPr>
      <w:r w:rsidRPr="00F24983">
        <w:t>different documentation types, their scope and purpose</w:t>
      </w:r>
    </w:p>
    <w:p w:rsidR="00000000" w:rsidRPr="00F24983" w:rsidP="00F24983">
      <w:pPr>
        <w:pStyle w:val="ListBullet2"/>
      </w:pPr>
      <w:r w:rsidRPr="00F24983">
        <w:t>worksheet processes</w:t>
      </w:r>
    </w:p>
    <w:p w:rsidR="00000000" w:rsidRPr="00F24983" w:rsidP="00F24983">
      <w:pPr>
        <w:pStyle w:val="ListBullet2"/>
      </w:pPr>
      <w:r w:rsidRPr="00F24983">
        <w:t>information quality requirements including clarity, logic and completeness</w:t>
      </w:r>
    </w:p>
    <w:p w:rsidR="00000000" w:rsidRPr="00F24983" w:rsidP="00F24983">
      <w:pPr>
        <w:pStyle w:val="ListBullet"/>
      </w:pPr>
      <w:r w:rsidRPr="00F24983">
        <w:t>labelling requirements for compounded products, in</w:t>
      </w:r>
      <w:r w:rsidRPr="00F24983">
        <w:t>cluding:</w:t>
      </w:r>
    </w:p>
    <w:p w:rsidR="00000000" w:rsidRPr="00F24983" w:rsidP="00F24983">
      <w:pPr>
        <w:pStyle w:val="ListBullet2"/>
      </w:pPr>
      <w:r w:rsidRPr="00F24983">
        <w:t>adherence to legislative requirements</w:t>
      </w:r>
    </w:p>
    <w:p w:rsidR="00000000" w:rsidRPr="00F24983" w:rsidP="00F24983">
      <w:pPr>
        <w:pStyle w:val="ListBullet2"/>
      </w:pPr>
      <w:r w:rsidRPr="00F24983">
        <w:t>name, form and strength of product</w:t>
      </w:r>
    </w:p>
    <w:p w:rsidR="00000000" w:rsidRPr="00F24983" w:rsidP="00F24983">
      <w:pPr>
        <w:pStyle w:val="ListBullet2"/>
      </w:pPr>
      <w:r w:rsidRPr="00F24983">
        <w:t>ancillary labels as part of label details</w:t>
      </w:r>
    </w:p>
    <w:p w:rsidR="00000000" w:rsidRPr="00F24983" w:rsidP="00F24983">
      <w:pPr>
        <w:pStyle w:val="ListBullet2"/>
      </w:pPr>
      <w:r w:rsidRPr="00F24983">
        <w:t>hazard warnings</w:t>
      </w:r>
    </w:p>
    <w:p w:rsidR="00000000" w:rsidRPr="00F24983" w:rsidP="00F24983">
      <w:pPr>
        <w:pStyle w:val="ListBullet2"/>
      </w:pPr>
      <w:r w:rsidRPr="00F24983">
        <w:t>spacing for entry of batch numbers and expiry dates</w:t>
      </w:r>
    </w:p>
    <w:p w:rsidR="00000000" w:rsidRPr="00F24983" w:rsidP="00F24983">
      <w:pPr>
        <w:pStyle w:val="ListBullet"/>
      </w:pPr>
      <w:r w:rsidRPr="00F24983">
        <w:t>packaging methods, container materials and principles for sele</w:t>
      </w:r>
      <w:r w:rsidRPr="00F24983">
        <w:t>ction</w:t>
      </w:r>
    </w:p>
    <w:p w:rsidR="00000000" w:rsidRPr="00F24983" w:rsidP="00F24983">
      <w:pPr>
        <w:pStyle w:val="ListBullet"/>
      </w:pPr>
      <w:r w:rsidRPr="00F24983">
        <w:t>storage and transport requirements and rationale for different types of product including:</w:t>
      </w:r>
    </w:p>
    <w:p w:rsidR="00000000" w:rsidRPr="00F24983" w:rsidP="00F24983">
      <w:pPr>
        <w:pStyle w:val="ListBullet2"/>
      </w:pPr>
      <w:r w:rsidRPr="00F24983">
        <w:t>hazardous materials</w:t>
      </w:r>
    </w:p>
    <w:p w:rsidR="00000000" w:rsidRPr="00F24983" w:rsidP="00F24983">
      <w:pPr>
        <w:pStyle w:val="ListBullet2"/>
      </w:pPr>
      <w:r w:rsidRPr="00F24983">
        <w:t>special storage considerations:</w:t>
      </w:r>
    </w:p>
    <w:p w:rsidR="00000000" w:rsidRPr="00F24983" w:rsidP="00F24983">
      <w:pPr>
        <w:pStyle w:val="ListBullet3"/>
      </w:pPr>
      <w:r w:rsidRPr="00F24983">
        <w:t>humidity</w:t>
      </w:r>
    </w:p>
    <w:p w:rsidR="00000000" w:rsidRPr="00F24983" w:rsidP="00F24983">
      <w:pPr>
        <w:pStyle w:val="ListBullet3"/>
      </w:pPr>
      <w:r w:rsidRPr="00F24983">
        <w:t>isolation</w:t>
      </w:r>
    </w:p>
    <w:p w:rsidR="00000000" w:rsidRPr="00F24983" w:rsidP="00F24983">
      <w:pPr>
        <w:pStyle w:val="ListBullet3"/>
      </w:pPr>
      <w:r w:rsidRPr="00F24983">
        <w:t>light</w:t>
      </w:r>
    </w:p>
    <w:p w:rsidR="00000000" w:rsidRPr="00F24983" w:rsidP="00F24983">
      <w:pPr>
        <w:pStyle w:val="ListBullet3"/>
      </w:pPr>
      <w:r w:rsidRPr="00F24983">
        <w:t>temperature</w:t>
      </w:r>
    </w:p>
    <w:p w:rsidR="00000000" w:rsidRPr="00F24983" w:rsidP="00F24983">
      <w:pPr>
        <w:pStyle w:val="ListBullet3"/>
      </w:pPr>
      <w:r w:rsidRPr="00F24983">
        <w:t>ventilation</w:t>
      </w:r>
    </w:p>
    <w:p w:rsidR="00000000" w:rsidRPr="00F24983" w:rsidP="00F24983">
      <w:pPr>
        <w:pStyle w:val="ListBullet"/>
      </w:pPr>
      <w:r w:rsidRPr="00F24983">
        <w:t>features and use of pharmacy systems used for small scale compounding.</w:t>
      </w:r>
    </w:p>
    <w:p w:rsidR="00000000" w:rsidRPr="00F24983" w:rsidP="00F24983">
      <w:pPr>
        <w:pStyle w:val="AllowPageBreak"/>
      </w:pPr>
    </w:p>
    <w:p w:rsidR="00000000" w:rsidRPr="00F24983" w:rsidP="00F24983">
      <w:pPr>
        <w:pStyle w:val="Heading1"/>
      </w:pPr>
      <w:bookmarkStart w:id="4" w:name="O_1225372"/>
      <w:bookmarkEnd w:id="4"/>
      <w:r w:rsidRPr="00F24983">
        <w:t>Assessment Conditions</w:t>
      </w:r>
    </w:p>
    <w:p w:rsidR="00000000" w:rsidRPr="00F24983" w:rsidP="003148AE">
      <w:pPr>
        <w:pStyle w:val="BodyText"/>
      </w:pPr>
      <w:r w:rsidRPr="00F24983">
        <w:t>Skills must be demonstrated in the workplace with the addition of simulations and scenarios where the full range of contexts and situations have not been provided in the workplace.</w:t>
      </w:r>
    </w:p>
    <w:p w:rsidR="00000000" w:rsidRPr="00F24983" w:rsidP="003148AE">
      <w:pPr>
        <w:pStyle w:val="BodyText"/>
      </w:pPr>
      <w:r w:rsidRPr="00F24983">
        <w:t>Assessment must ensure access to:</w:t>
      </w:r>
    </w:p>
    <w:p w:rsidR="00000000" w:rsidRPr="00F24983" w:rsidP="00F24983">
      <w:pPr>
        <w:pStyle w:val="ListBullet"/>
      </w:pPr>
      <w:r w:rsidRPr="00F24983">
        <w:t>use of suitable facilities, equipment an</w:t>
      </w:r>
      <w:r w:rsidRPr="00F24983">
        <w:t xml:space="preserve">d resources, including: </w:t>
      </w:r>
    </w:p>
    <w:p w:rsidR="00000000" w:rsidRPr="00F24983" w:rsidP="00F24983">
      <w:pPr>
        <w:pStyle w:val="ListBullet2"/>
      </w:pPr>
      <w:r w:rsidRPr="00F24983">
        <w:t>weighing and measuring equipment</w:t>
      </w:r>
    </w:p>
    <w:p w:rsidR="00000000" w:rsidRPr="00F24983" w:rsidP="00F24983">
      <w:pPr>
        <w:pStyle w:val="ListBullet2"/>
      </w:pPr>
      <w:r w:rsidRPr="00F24983">
        <w:t>utensils</w:t>
      </w:r>
    </w:p>
    <w:p w:rsidR="00000000" w:rsidRPr="00F24983" w:rsidP="00F24983">
      <w:pPr>
        <w:pStyle w:val="ListBullet2"/>
      </w:pPr>
      <w:r w:rsidRPr="00F24983">
        <w:t>raw materials</w:t>
      </w:r>
    </w:p>
    <w:p w:rsidR="00000000" w:rsidRPr="00F24983" w:rsidP="00F24983">
      <w:pPr>
        <w:pStyle w:val="ListBullet2"/>
      </w:pPr>
      <w:r w:rsidRPr="00F24983">
        <w:t>pharmaceutical references</w:t>
      </w:r>
    </w:p>
    <w:p w:rsidR="00000000" w:rsidRPr="00F24983" w:rsidP="00F24983">
      <w:pPr>
        <w:pStyle w:val="ListBullet"/>
      </w:pPr>
      <w:r w:rsidRPr="00F24983">
        <w:t>modelling of industry operating conditions, including presence of time constraints for activities</w:t>
      </w:r>
    </w:p>
    <w:p w:rsidR="00000000" w:rsidRPr="00F24983" w:rsidP="00F24983">
      <w:pPr>
        <w:pStyle w:val="ListBullet"/>
      </w:pPr>
      <w:r w:rsidRPr="00F24983">
        <w:t>authorised person with whom to consult.</w:t>
      </w:r>
    </w:p>
    <w:p w:rsidR="00000000" w:rsidRPr="00F24983" w:rsidP="003148AE">
      <w:pPr>
        <w:pStyle w:val="BodyText"/>
      </w:pPr>
      <w:r w:rsidRPr="00F24983">
        <w:t>Assessors</w:t>
      </w:r>
      <w:r w:rsidRPr="00F24983">
        <w:t xml:space="preserve"> must satisfy the Standards for Registered Training Organisations’ requirements for assessors.</w:t>
      </w:r>
    </w:p>
    <w:p w:rsidR="00000000" w:rsidRPr="00F24983" w:rsidP="00F24983">
      <w:pPr>
        <w:pStyle w:val="Heading1"/>
      </w:pPr>
      <w:bookmarkStart w:id="5" w:name="O_1225370"/>
      <w:bookmarkEnd w:id="5"/>
      <w:r w:rsidRPr="00F24983">
        <w:t>Links</w:t>
      </w:r>
    </w:p>
    <w:p w:rsidR="00000000" w:rsidRPr="00F24983" w:rsidP="003148AE">
      <w:pPr>
        <w:pStyle w:val="BodyText"/>
      </w:pPr>
      <w:r w:rsidRPr="00F249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F40B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24983" w:rsidP="00F24983"/>
    <w:sectPr w:rsidSect="00F249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9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983" w:rsidRPr="003148AE" w:rsidP="003148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9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8AE" w:rsidP="00F249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48AE" w:rsidP="00F249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148AE" w:rsidP="00F249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9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8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983" w:rsidRPr="003148AE" w:rsidP="003148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9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8AE" w:rsidRPr="002D2AF8" w:rsidP="00F249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HLTPHA014 Conduct small-scale compounding and labelling of pharmaceutical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148AE" w:rsidP="00F249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9C91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F6DE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2CD6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9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9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9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9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9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9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9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9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9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9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9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983"/>
  </w:style>
  <w:style w:type="character" w:customStyle="1" w:styleId="Heading1Char">
    <w:name w:val="Heading 1 Char"/>
    <w:basedOn w:val="DefaultParagraphFont"/>
    <w:link w:val="Heading1"/>
    <w:rsid w:val="00F249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9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9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498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498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49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9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2498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249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9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9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9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9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9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9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9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9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9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9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9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9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9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9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9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9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9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49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49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4983"/>
    <w:rPr>
      <w:b/>
      <w:spacing w:val="0"/>
    </w:rPr>
  </w:style>
  <w:style w:type="paragraph" w:customStyle="1" w:styleId="SuperTitle">
    <w:name w:val="SuperTitle"/>
    <w:basedOn w:val="Title"/>
    <w:rsid w:val="00F249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9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9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49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9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9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9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9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9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9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9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9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4983"/>
    <w:rPr>
      <w:i/>
    </w:rPr>
  </w:style>
  <w:style w:type="paragraph" w:styleId="Caption">
    <w:name w:val="caption"/>
    <w:basedOn w:val="BodyText"/>
    <w:next w:val="Normal"/>
    <w:qFormat/>
    <w:rsid w:val="00F249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9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9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983"/>
  </w:style>
  <w:style w:type="paragraph" w:styleId="TableofFigures">
    <w:name w:val="table of figures"/>
    <w:basedOn w:val="Normal"/>
    <w:next w:val="Normal"/>
    <w:semiHidden/>
    <w:rsid w:val="00F249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98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24983"/>
    <w:rPr>
      <w:rFonts w:ascii="Wingdings" w:hAnsi="Wingdings"/>
    </w:rPr>
  </w:style>
  <w:style w:type="paragraph" w:customStyle="1" w:styleId="TableHeading">
    <w:name w:val="Table Heading"/>
    <w:basedOn w:val="HeadingBase"/>
    <w:rsid w:val="00F249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983"/>
    <w:rPr>
      <w:color w:val="0033CC"/>
      <w:u w:val="none"/>
    </w:rPr>
  </w:style>
  <w:style w:type="paragraph" w:customStyle="1" w:styleId="BodyTextRight">
    <w:name w:val="Body Text Right"/>
    <w:basedOn w:val="BodyText"/>
    <w:rsid w:val="00F249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9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98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9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9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9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983"/>
    <w:rPr>
      <w:sz w:val="32"/>
    </w:rPr>
  </w:style>
  <w:style w:type="paragraph" w:customStyle="1" w:styleId="HeadingProcedure">
    <w:name w:val="Heading Procedure"/>
    <w:basedOn w:val="HeadingBase"/>
    <w:next w:val="Normal"/>
    <w:rsid w:val="00F249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983"/>
    <w:pPr>
      <w:spacing w:before="60" w:after="60"/>
    </w:pPr>
  </w:style>
  <w:style w:type="paragraph" w:styleId="ListContinue">
    <w:name w:val="List Continue"/>
    <w:basedOn w:val="List"/>
    <w:rsid w:val="00F24983"/>
    <w:pPr>
      <w:ind w:firstLine="0"/>
    </w:pPr>
  </w:style>
  <w:style w:type="paragraph" w:customStyle="1" w:styleId="ListNote">
    <w:name w:val="List Note"/>
    <w:basedOn w:val="List"/>
    <w:rsid w:val="00F249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9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9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983"/>
    <w:rPr>
      <w:rFonts w:ascii="Courier New" w:hAnsi="Courier New"/>
    </w:rPr>
  </w:style>
  <w:style w:type="paragraph" w:customStyle="1" w:styleId="NoteBullet">
    <w:name w:val="Note Bullet"/>
    <w:basedOn w:val="Note"/>
    <w:rsid w:val="00F249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9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9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9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9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249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9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983"/>
    <w:rPr>
      <w:b/>
      <w:smallCaps/>
    </w:rPr>
  </w:style>
  <w:style w:type="paragraph" w:customStyle="1" w:styleId="TableListNumber">
    <w:name w:val="Table List Number"/>
    <w:basedOn w:val="ListNumber"/>
    <w:rsid w:val="00F249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9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983"/>
    <w:pPr>
      <w:numPr>
        <w:numId w:val="10"/>
      </w:numPr>
    </w:pPr>
  </w:style>
  <w:style w:type="paragraph" w:customStyle="1" w:styleId="ListAlpha2">
    <w:name w:val="List Alpha 2"/>
    <w:basedOn w:val="List2"/>
    <w:rsid w:val="00F24983"/>
    <w:pPr>
      <w:numPr>
        <w:numId w:val="9"/>
      </w:numPr>
    </w:pPr>
  </w:style>
  <w:style w:type="paragraph" w:styleId="List2">
    <w:name w:val="List 2"/>
    <w:basedOn w:val="BodyText"/>
    <w:rsid w:val="00F249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49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9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98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2498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24983"/>
    <w:pPr>
      <w:numPr>
        <w:numId w:val="5"/>
      </w:numPr>
    </w:pPr>
  </w:style>
  <w:style w:type="paragraph" w:styleId="ListContinue2">
    <w:name w:val="List Continue 2"/>
    <w:basedOn w:val="List2"/>
    <w:rsid w:val="00F24983"/>
    <w:pPr>
      <w:ind w:firstLine="0"/>
    </w:pPr>
  </w:style>
  <w:style w:type="paragraph" w:styleId="ListContinue3">
    <w:name w:val="List Continue 3"/>
    <w:basedOn w:val="List3"/>
    <w:rsid w:val="00F24983"/>
    <w:pPr>
      <w:ind w:left="1021" w:firstLine="0"/>
    </w:pPr>
  </w:style>
  <w:style w:type="paragraph" w:styleId="ListContinue4">
    <w:name w:val="List Continue 4"/>
    <w:basedOn w:val="List4"/>
    <w:rsid w:val="00F24983"/>
    <w:pPr>
      <w:ind w:firstLine="0"/>
    </w:pPr>
  </w:style>
  <w:style w:type="paragraph" w:styleId="ListContinue5">
    <w:name w:val="List Continue 5"/>
    <w:basedOn w:val="List5"/>
    <w:rsid w:val="00F24983"/>
    <w:pPr>
      <w:ind w:firstLine="0"/>
    </w:pPr>
  </w:style>
  <w:style w:type="paragraph" w:styleId="ListNumber3">
    <w:name w:val="List Number 3"/>
    <w:basedOn w:val="List3"/>
    <w:rsid w:val="00F24983"/>
    <w:pPr>
      <w:numPr>
        <w:numId w:val="6"/>
      </w:numPr>
    </w:pPr>
  </w:style>
  <w:style w:type="paragraph" w:styleId="ListNumber4">
    <w:name w:val="List Number 4"/>
    <w:basedOn w:val="List4"/>
    <w:rsid w:val="00F24983"/>
    <w:pPr>
      <w:numPr>
        <w:numId w:val="7"/>
      </w:numPr>
    </w:pPr>
  </w:style>
  <w:style w:type="paragraph" w:styleId="ListNumber5">
    <w:name w:val="List Number 5"/>
    <w:basedOn w:val="List5"/>
    <w:rsid w:val="00F24983"/>
    <w:pPr>
      <w:numPr>
        <w:numId w:val="8"/>
      </w:numPr>
    </w:pPr>
  </w:style>
  <w:style w:type="paragraph" w:styleId="BlockText">
    <w:name w:val="Block Text"/>
    <w:basedOn w:val="Normal"/>
    <w:rsid w:val="00F249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9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983"/>
    <w:rPr>
      <w:sz w:val="16"/>
      <w:vertAlign w:val="superscript"/>
    </w:rPr>
  </w:style>
  <w:style w:type="character" w:customStyle="1" w:styleId="Symbols">
    <w:name w:val="Symbols"/>
    <w:basedOn w:val="DefaultParagraphFont"/>
    <w:rsid w:val="00F24983"/>
    <w:rPr>
      <w:rFonts w:ascii="Symbol" w:hAnsi="Symbol"/>
    </w:rPr>
  </w:style>
  <w:style w:type="character" w:customStyle="1" w:styleId="MenuOptions">
    <w:name w:val="Menu Options"/>
    <w:basedOn w:val="DefaultParagraphFont"/>
    <w:rsid w:val="00F249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983"/>
    <w:rPr>
      <w:b/>
    </w:rPr>
  </w:style>
  <w:style w:type="character" w:customStyle="1" w:styleId="Underlined">
    <w:name w:val="Underlined"/>
    <w:basedOn w:val="DefaultParagraphFont"/>
    <w:rsid w:val="00F24983"/>
    <w:rPr>
      <w:u w:val="single"/>
    </w:rPr>
  </w:style>
  <w:style w:type="paragraph" w:customStyle="1" w:styleId="TableBodyTextRight">
    <w:name w:val="Table Body Text Right"/>
    <w:basedOn w:val="TableBodyText"/>
    <w:rsid w:val="00F249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983"/>
    <w:rPr>
      <w:sz w:val="18"/>
    </w:rPr>
  </w:style>
  <w:style w:type="paragraph" w:customStyle="1" w:styleId="BodySmallRight">
    <w:name w:val="Body Small Right"/>
    <w:basedOn w:val="BodyTextRight"/>
    <w:rsid w:val="00F24983"/>
    <w:rPr>
      <w:sz w:val="18"/>
      <w:szCs w:val="18"/>
    </w:rPr>
  </w:style>
  <w:style w:type="paragraph" w:customStyle="1" w:styleId="MarginEdition">
    <w:name w:val="Margin Edition"/>
    <w:basedOn w:val="MarginNote"/>
    <w:rsid w:val="00F249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983"/>
    <w:rPr>
      <w:sz w:val="2"/>
      <w:szCs w:val="2"/>
    </w:rPr>
  </w:style>
  <w:style w:type="character" w:customStyle="1" w:styleId="Small">
    <w:name w:val="Small"/>
    <w:basedOn w:val="DefaultParagraphFont"/>
    <w:rsid w:val="00F24983"/>
    <w:rPr>
      <w:sz w:val="16"/>
    </w:rPr>
  </w:style>
  <w:style w:type="paragraph" w:customStyle="1" w:styleId="WideTable">
    <w:name w:val="Wide Table"/>
    <w:basedOn w:val="Normal"/>
    <w:rsid w:val="00F249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983"/>
  </w:style>
  <w:style w:type="paragraph" w:styleId="Quote">
    <w:name w:val="Quote"/>
    <w:basedOn w:val="Heading1"/>
    <w:link w:val="QuoteChar"/>
    <w:qFormat/>
    <w:rsid w:val="00F249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9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983"/>
    <w:pPr>
      <w:pageBreakBefore/>
    </w:pPr>
  </w:style>
  <w:style w:type="paragraph" w:customStyle="1" w:styleId="Border">
    <w:name w:val="Border"/>
    <w:basedOn w:val="Normal"/>
    <w:qFormat/>
    <w:rsid w:val="00F249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9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9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9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9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9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9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9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9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983"/>
    <w:rPr>
      <w:u w:val="single"/>
    </w:rPr>
  </w:style>
  <w:style w:type="character" w:customStyle="1" w:styleId="BoldandItalics">
    <w:name w:val="Bold and Italics"/>
    <w:qFormat/>
    <w:rsid w:val="00F24983"/>
    <w:rPr>
      <w:b/>
      <w:i/>
      <w:u w:val="none"/>
    </w:rPr>
  </w:style>
  <w:style w:type="paragraph" w:styleId="BalloonText">
    <w:name w:val="Balloon Text"/>
    <w:basedOn w:val="Normal"/>
    <w:link w:val="BalloonTextChar"/>
    <w:rsid w:val="00F249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9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9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9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9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9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983"/>
    <w:pPr>
      <w:spacing w:before="0" w:after="0"/>
    </w:pPr>
  </w:style>
  <w:style w:type="paragraph" w:customStyle="1" w:styleId="BodyTextBold">
    <w:name w:val="Body Text Bold"/>
    <w:basedOn w:val="BodyText"/>
    <w:qFormat/>
    <w:rsid w:val="00F24983"/>
    <w:rPr>
      <w:b/>
    </w:rPr>
  </w:style>
  <w:style w:type="character" w:styleId="Hyperlink">
    <w:name w:val="Hyperlink"/>
    <w:basedOn w:val="DefaultParagraphFont"/>
    <w:uiPriority w:val="99"/>
    <w:unhideWhenUsed/>
    <w:rsid w:val="003148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4790</Characters>
  <Application>Microsoft Office Word</Application>
  <DocSecurity>0</DocSecurity>
  <Lines>126</Lines>
  <Paragraphs>105</Paragraphs>
  <ScaleCrop>false</ScaleCrop>
  <Company>Author-it Software Corporation Ltd.</Company>
  <LinksUpToDate>false</LinksUpToDate>
  <CharactersWithSpaces>5386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HLTPHA014 Conduct small-scale compounding and labelling of pharmaceutical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2023-07-02T01:32:00Z</dcterms:created>
  <dcterms:modified xsi:type="dcterms:W3CDTF">2023-07-02T01:32:00Z</dcterms:modified>
</cp:coreProperties>
</file>