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7251" w:rsidP="00D072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HLTPHA011 Pack pharmaceutical products</w:t>
      </w:r>
      <w:r>
        <w:fldChar w:fldCharType="end"/>
      </w:r>
    </w:p>
    <w:p w:rsidR="00D07251" w:rsidP="00D07251">
      <w:pPr>
        <w:pStyle w:val="Version"/>
        <w:sectPr w:rsidSect="00327D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7D04" w:rsidP="00327D04">
      <w:pPr>
        <w:pStyle w:val="SuperHeading"/>
      </w:pPr>
      <w:r w:rsidRPr="00327D04">
        <w:t>Assessment Requirements for HLTPHA011 Pack pharmaceutical products</w:t>
      </w:r>
    </w:p>
    <w:p w:rsidR="00000000" w:rsidRPr="00327D04" w:rsidP="00327D04">
      <w:pPr>
        <w:pStyle w:val="Heading1"/>
      </w:pPr>
      <w:bookmarkStart w:id="1" w:name="O_1225326"/>
      <w:bookmarkEnd w:id="1"/>
      <w:r w:rsidRPr="00327D04">
        <w:t>Modification History</w:t>
      </w:r>
    </w:p>
    <w:p w:rsidR="00000000" w:rsidRPr="00327D04" w:rsidP="00D07251">
      <w:pPr>
        <w:pStyle w:val="BodyText"/>
      </w:pPr>
      <w:r w:rsidRPr="00327D04">
        <w:t>Not applicable.</w:t>
      </w:r>
    </w:p>
    <w:p w:rsidR="00000000" w:rsidRPr="00327D04" w:rsidP="00327D04">
      <w:pPr>
        <w:pStyle w:val="Heading1"/>
      </w:pPr>
      <w:bookmarkStart w:id="2" w:name="O_1225329"/>
      <w:bookmarkEnd w:id="2"/>
      <w:r w:rsidRPr="00327D04">
        <w:t>Performance Evidence</w:t>
      </w:r>
    </w:p>
    <w:p w:rsidR="00000000" w:rsidRPr="00327D04" w:rsidP="00D07251">
      <w:pPr>
        <w:pStyle w:val="BodyText"/>
      </w:pPr>
      <w:r w:rsidRPr="00327D04">
        <w:t>Evidence of the ability to complete tasks o</w:t>
      </w:r>
      <w:r w:rsidRPr="00327D04">
        <w:t>utlined in elements and performance criteria of this unit in the context of the job role, and:</w:t>
      </w:r>
    </w:p>
    <w:p w:rsidR="00000000" w:rsidRPr="00327D04" w:rsidP="00327D04">
      <w:pPr>
        <w:pStyle w:val="ListBullet"/>
      </w:pPr>
      <w:r w:rsidRPr="00327D04">
        <w:t>follow workplace procedures in terms of safe packaging and labelling practices for at least 10 different product batches, including at least 10 pre-packaged pro</w:t>
      </w:r>
      <w:r w:rsidRPr="00327D04">
        <w:t>ducts in original packaging or decanted for different individual patients</w:t>
      </w:r>
    </w:p>
    <w:p w:rsidR="00000000" w:rsidRPr="00327D04" w:rsidP="00327D04">
      <w:pPr>
        <w:pStyle w:val="ListBullet"/>
      </w:pPr>
      <w:r w:rsidRPr="00327D04">
        <w:t>reconcile labelling of product batches and complete batch documentation following workplace procedures</w:t>
      </w:r>
    </w:p>
    <w:p w:rsidR="00000000" w:rsidRPr="00327D04" w:rsidP="00327D04">
      <w:pPr>
        <w:pStyle w:val="ListBullet"/>
      </w:pPr>
      <w:r w:rsidRPr="00327D04">
        <w:t>identify issues outside scope of own practice and refer to an authorised person</w:t>
      </w:r>
    </w:p>
    <w:p w:rsidR="00000000" w:rsidRPr="00327D04" w:rsidP="00327D04">
      <w:pPr>
        <w:pStyle w:val="ListBullet"/>
      </w:pPr>
      <w:r w:rsidRPr="00327D04">
        <w:t>perform the activities outlined in the performance criteria of this unit during a period of at least 240 hours of work related to hospital or health services pharmacy support in a clinical workplace environment.  These 240 hours may be applied collectivel</w:t>
      </w:r>
      <w:r w:rsidRPr="00327D04">
        <w:t>y across all units of competency that include the requirement for workplace hours for the purposes of assessment.</w:t>
      </w:r>
    </w:p>
    <w:p w:rsidR="00000000" w:rsidRPr="00327D04" w:rsidP="00327D04">
      <w:pPr>
        <w:pStyle w:val="AllowPageBreak"/>
      </w:pPr>
    </w:p>
    <w:p w:rsidR="00000000" w:rsidRPr="00327D04" w:rsidP="00327D04">
      <w:pPr>
        <w:pStyle w:val="Heading1"/>
      </w:pPr>
      <w:bookmarkStart w:id="3" w:name="O_1225328"/>
      <w:bookmarkEnd w:id="3"/>
      <w:r w:rsidRPr="00327D04">
        <w:t>Knowledge Evidence</w:t>
      </w:r>
    </w:p>
    <w:p w:rsidR="00000000" w:rsidRPr="00327D04" w:rsidP="00D07251">
      <w:pPr>
        <w:pStyle w:val="BodyText"/>
      </w:pPr>
      <w:r w:rsidRPr="00327D04">
        <w:t>Demonstrated knowledge required to complete the tasks outlined in elements and performance criteria of t</w:t>
      </w:r>
      <w:r w:rsidRPr="00327D04">
        <w:t>his unit:</w:t>
      </w:r>
    </w:p>
    <w:p w:rsidR="00000000" w:rsidRPr="00327D04" w:rsidP="00327D04">
      <w:pPr>
        <w:pStyle w:val="ListBullet"/>
      </w:pPr>
      <w:r w:rsidRPr="00327D04">
        <w:t>National, State or Territory legal and ethical requirements for pharmacy work, and how these are applied in organisations, including:</w:t>
      </w:r>
    </w:p>
    <w:p w:rsidR="00000000" w:rsidRPr="00327D04" w:rsidP="00327D04">
      <w:pPr>
        <w:pStyle w:val="ListBullet2"/>
      </w:pPr>
      <w:r w:rsidRPr="00327D04">
        <w:t>codes of conduct</w:t>
      </w:r>
    </w:p>
    <w:p w:rsidR="00000000" w:rsidRPr="00327D04" w:rsidP="00327D04">
      <w:pPr>
        <w:pStyle w:val="ListBullet2"/>
      </w:pPr>
      <w:r w:rsidRPr="00327D04">
        <w:t>duty of care and implications of negligence</w:t>
      </w:r>
    </w:p>
    <w:p w:rsidR="00000000" w:rsidRPr="00327D04" w:rsidP="00327D04">
      <w:pPr>
        <w:pStyle w:val="ListBullet2"/>
      </w:pPr>
      <w:r w:rsidRPr="00327D04">
        <w:t>privacy, confidentiality and disclosure</w:t>
      </w:r>
    </w:p>
    <w:p w:rsidR="00000000" w:rsidRPr="00327D04" w:rsidP="00327D04">
      <w:pPr>
        <w:pStyle w:val="ListBullet2"/>
      </w:pPr>
      <w:r w:rsidRPr="00327D04">
        <w:t>records management</w:t>
      </w:r>
    </w:p>
    <w:p w:rsidR="00000000" w:rsidRPr="00327D04" w:rsidP="00327D04">
      <w:pPr>
        <w:pStyle w:val="ListBullet2"/>
      </w:pPr>
      <w:r w:rsidRPr="00327D04">
        <w:t>rights and responsibilities of workers, employers and patients</w:t>
      </w:r>
    </w:p>
    <w:p w:rsidR="00000000" w:rsidRPr="00327D04" w:rsidP="00327D04">
      <w:pPr>
        <w:pStyle w:val="ListBullet2"/>
      </w:pPr>
      <w:r w:rsidRPr="00327D04">
        <w:t>specific legislation:</w:t>
      </w:r>
    </w:p>
    <w:p w:rsidR="00000000" w:rsidRPr="00327D04" w:rsidP="00327D04">
      <w:pPr>
        <w:pStyle w:val="ListBullet3"/>
      </w:pPr>
      <w:r w:rsidRPr="00327D04">
        <w:t>medications and their use</w:t>
      </w:r>
    </w:p>
    <w:p w:rsidR="00000000" w:rsidRPr="00327D04" w:rsidP="00327D04">
      <w:pPr>
        <w:pStyle w:val="ListBullet3"/>
      </w:pPr>
      <w:r w:rsidRPr="00327D04">
        <w:t>the practice of pharmacy</w:t>
      </w:r>
    </w:p>
    <w:p w:rsidR="00000000" w:rsidRPr="00327D04" w:rsidP="00327D04">
      <w:pPr>
        <w:pStyle w:val="ListBullet3"/>
      </w:pPr>
      <w:r w:rsidRPr="00327D04">
        <w:t>different schedules of medications and pharmaceutical products</w:t>
      </w:r>
    </w:p>
    <w:p w:rsidR="00000000" w:rsidRPr="00327D04" w:rsidP="00327D04">
      <w:pPr>
        <w:pStyle w:val="ListBullet2"/>
      </w:pPr>
      <w:r w:rsidRPr="00327D04">
        <w:t>work role boundaries including respo</w:t>
      </w:r>
      <w:r w:rsidRPr="00327D04">
        <w:t>nsibilities and limitations</w:t>
      </w:r>
    </w:p>
    <w:p w:rsidR="00000000" w:rsidRPr="00327D04" w:rsidP="00327D04">
      <w:pPr>
        <w:pStyle w:val="ListBullet2"/>
      </w:pPr>
      <w:r w:rsidRPr="00327D04">
        <w:t>work health and safety</w:t>
      </w:r>
    </w:p>
    <w:p w:rsidR="00000000" w:rsidRPr="00327D04" w:rsidP="00327D04">
      <w:pPr>
        <w:pStyle w:val="ListBullet2"/>
      </w:pPr>
      <w:r w:rsidRPr="00327D04">
        <w:t>quality control</w:t>
      </w:r>
    </w:p>
    <w:p w:rsidR="00000000" w:rsidRPr="00327D04" w:rsidP="00327D04">
      <w:pPr>
        <w:pStyle w:val="ListBullet"/>
      </w:pPr>
      <w:r w:rsidRPr="00327D04">
        <w:t>legal requirements and principles of pharmaceutical product labelling, including, product name, batch numbering and expiry date:</w:t>
      </w:r>
    </w:p>
    <w:p w:rsidR="00000000" w:rsidRPr="00327D04" w:rsidP="00327D04">
      <w:pPr>
        <w:pStyle w:val="ListBullet2"/>
      </w:pPr>
      <w:r w:rsidRPr="00327D04">
        <w:t>Pharmacy Board of Australia’</w:t>
      </w:r>
      <w:r w:rsidRPr="00327D04">
        <w:t>s Guidelines on Specialised Supply Arrangements, national guidelines and legislation on the filling of dose administration containers</w:t>
      </w:r>
    </w:p>
    <w:p w:rsidR="00000000" w:rsidRPr="00327D04" w:rsidP="00327D04">
      <w:pPr>
        <w:pStyle w:val="ListBullet2"/>
      </w:pPr>
      <w:r w:rsidRPr="00327D04">
        <w:t xml:space="preserve">specific labelling requirements </w:t>
      </w:r>
    </w:p>
    <w:p w:rsidR="00000000" w:rsidRPr="00327D04" w:rsidP="00327D04">
      <w:pPr>
        <w:pStyle w:val="ListBullet2"/>
      </w:pPr>
      <w:r w:rsidRPr="00327D04">
        <w:t>key information for inclusion</w:t>
      </w:r>
    </w:p>
    <w:p w:rsidR="00000000" w:rsidRPr="00327D04" w:rsidP="00327D04">
      <w:pPr>
        <w:pStyle w:val="ListBullet"/>
      </w:pPr>
      <w:r w:rsidRPr="00327D04">
        <w:t>Pharmacy Board of Australia Guidelines for Dispensing Medi</w:t>
      </w:r>
      <w:r w:rsidRPr="00327D04">
        <w:t>cines, that apply to individual workers</w:t>
      </w:r>
    </w:p>
    <w:p w:rsidR="00000000" w:rsidRPr="00327D04" w:rsidP="00327D04">
      <w:pPr>
        <w:pStyle w:val="ListBullet"/>
      </w:pPr>
      <w:r w:rsidRPr="00327D04">
        <w:t>tablet counters</w:t>
      </w:r>
    </w:p>
    <w:p w:rsidR="00000000" w:rsidRPr="00327D04" w:rsidP="00327D04">
      <w:pPr>
        <w:pStyle w:val="ListBullet"/>
      </w:pPr>
      <w:r w:rsidRPr="00327D04">
        <w:t>heat sealing devices</w:t>
      </w:r>
    </w:p>
    <w:p w:rsidR="00000000" w:rsidRPr="00327D04" w:rsidP="00327D04">
      <w:pPr>
        <w:pStyle w:val="ListBullet"/>
      </w:pPr>
      <w:r w:rsidRPr="00327D04">
        <w:t xml:space="preserve">use of tweezers </w:t>
      </w:r>
    </w:p>
    <w:p w:rsidR="00000000" w:rsidRPr="00327D04" w:rsidP="00327D04">
      <w:pPr>
        <w:pStyle w:val="ListBullet"/>
      </w:pPr>
      <w:r w:rsidRPr="00327D04">
        <w:t>key information in standard pharmaceutical references and their use by pharmacy assistants, including:</w:t>
      </w:r>
    </w:p>
    <w:p w:rsidR="00000000" w:rsidRPr="00327D04" w:rsidP="00327D04">
      <w:pPr>
        <w:pStyle w:val="ListBullet2"/>
      </w:pPr>
      <w:r w:rsidRPr="00327D04">
        <w:t>Australian Pharmaceutical Formulary and Handbook (APF)</w:t>
      </w:r>
    </w:p>
    <w:p w:rsidR="00000000" w:rsidRPr="00327D04" w:rsidP="00327D04">
      <w:pPr>
        <w:pStyle w:val="ListBullet2"/>
      </w:pPr>
      <w:r w:rsidRPr="00327D04">
        <w:t>Mon</w:t>
      </w:r>
      <w:r w:rsidRPr="00327D04">
        <w:t>thly Index of Medical Specialities (MIMS) or AusDI Advanced</w:t>
      </w:r>
    </w:p>
    <w:p w:rsidR="00000000" w:rsidRPr="00327D04" w:rsidP="00327D04">
      <w:pPr>
        <w:pStyle w:val="ListBullet2"/>
      </w:pPr>
      <w:r w:rsidRPr="00327D04">
        <w:t>Australian Medicines Handbook (AMH)</w:t>
      </w:r>
    </w:p>
    <w:p w:rsidR="00000000" w:rsidRPr="00327D04" w:rsidP="00327D04">
      <w:pPr>
        <w:pStyle w:val="ListBullet2"/>
      </w:pPr>
      <w:r w:rsidRPr="00327D04">
        <w:t>Micromedex</w:t>
      </w:r>
    </w:p>
    <w:p w:rsidR="00000000" w:rsidRPr="00327D04" w:rsidP="00327D04">
      <w:pPr>
        <w:pStyle w:val="ListBullet"/>
      </w:pPr>
      <w:r w:rsidRPr="00327D04">
        <w:t>infection control principles and their relevance to pharmaceutical packaging</w:t>
      </w:r>
    </w:p>
    <w:p w:rsidR="00000000" w:rsidRPr="00327D04" w:rsidP="00327D04">
      <w:pPr>
        <w:pStyle w:val="ListBullet"/>
      </w:pPr>
      <w:r w:rsidRPr="00327D04">
        <w:t>features of packaging equipment including their operation, cleaning and</w:t>
      </w:r>
      <w:r w:rsidRPr="00327D04">
        <w:t xml:space="preserve"> maintenance, including:</w:t>
      </w:r>
    </w:p>
    <w:p w:rsidR="00000000" w:rsidRPr="00327D04" w:rsidP="00327D04">
      <w:pPr>
        <w:pStyle w:val="ListBullet2"/>
      </w:pPr>
      <w:r w:rsidRPr="00327D04">
        <w:t>counting trays</w:t>
      </w:r>
    </w:p>
    <w:p w:rsidR="00000000" w:rsidRPr="00327D04" w:rsidP="00327D04">
      <w:pPr>
        <w:pStyle w:val="ListBullet2"/>
      </w:pPr>
      <w:r w:rsidRPr="00327D04">
        <w:t>irons</w:t>
      </w:r>
    </w:p>
    <w:p w:rsidR="00000000" w:rsidRPr="00327D04" w:rsidP="00327D04">
      <w:pPr>
        <w:pStyle w:val="ListBullet2"/>
      </w:pPr>
      <w:r w:rsidRPr="00327D04">
        <w:t>heat sealing equipment</w:t>
      </w:r>
    </w:p>
    <w:p w:rsidR="00000000" w:rsidRPr="00327D04" w:rsidP="00327D04">
      <w:pPr>
        <w:pStyle w:val="ListBullet2"/>
      </w:pPr>
      <w:r w:rsidRPr="00327D04">
        <w:t>measures</w:t>
      </w:r>
    </w:p>
    <w:p w:rsidR="00000000" w:rsidRPr="00327D04" w:rsidP="00327D04">
      <w:pPr>
        <w:pStyle w:val="ListBullet2"/>
      </w:pPr>
      <w:r w:rsidRPr="00327D04">
        <w:t>scales</w:t>
      </w:r>
    </w:p>
    <w:p w:rsidR="00000000" w:rsidRPr="00327D04" w:rsidP="00327D04">
      <w:pPr>
        <w:pStyle w:val="ListBullet2"/>
      </w:pPr>
      <w:r w:rsidRPr="00327D04">
        <w:t xml:space="preserve">tweezers </w:t>
      </w:r>
    </w:p>
    <w:p w:rsidR="00000000" w:rsidRPr="00327D04" w:rsidP="00327D04">
      <w:pPr>
        <w:pStyle w:val="ListBullet"/>
      </w:pPr>
      <w:r w:rsidRPr="00327D04">
        <w:t>packaging principles and processes, including:</w:t>
      </w:r>
    </w:p>
    <w:p w:rsidR="00000000" w:rsidRPr="00327D04" w:rsidP="00327D04">
      <w:pPr>
        <w:pStyle w:val="ListBullet2"/>
      </w:pPr>
      <w:r w:rsidRPr="00327D04">
        <w:t>specifications</w:t>
      </w:r>
    </w:p>
    <w:p w:rsidR="00000000" w:rsidRPr="00327D04" w:rsidP="00327D04">
      <w:pPr>
        <w:pStyle w:val="ListBullet2"/>
      </w:pPr>
      <w:r w:rsidRPr="00327D04">
        <w:t>calculations, weights and measures</w:t>
      </w:r>
    </w:p>
    <w:p w:rsidR="00000000" w:rsidRPr="00327D04" w:rsidP="00327D04">
      <w:pPr>
        <w:pStyle w:val="ListBullet2"/>
      </w:pPr>
      <w:r w:rsidRPr="00327D04">
        <w:t>properties of container types and selection for use</w:t>
      </w:r>
    </w:p>
    <w:p w:rsidR="00000000" w:rsidRPr="00327D04" w:rsidP="00327D04">
      <w:pPr>
        <w:pStyle w:val="ListBullet2"/>
      </w:pPr>
      <w:r w:rsidRPr="00327D04">
        <w:t>various pack sizes and selection for use</w:t>
      </w:r>
    </w:p>
    <w:p w:rsidR="00000000" w:rsidRPr="00327D04" w:rsidP="00327D04">
      <w:pPr>
        <w:pStyle w:val="ListBullet2"/>
      </w:pPr>
      <w:r w:rsidRPr="00327D04">
        <w:t>types of packaging materials</w:t>
      </w:r>
    </w:p>
    <w:p w:rsidR="00000000" w:rsidRPr="00327D04" w:rsidP="00327D04">
      <w:pPr>
        <w:pStyle w:val="ListBullet"/>
      </w:pPr>
      <w:r w:rsidRPr="00327D04">
        <w:t>environmental conditions required for pharmaceutical packaging related to:</w:t>
      </w:r>
    </w:p>
    <w:p w:rsidR="00000000" w:rsidRPr="00327D04" w:rsidP="00327D04">
      <w:pPr>
        <w:pStyle w:val="ListBullet2"/>
      </w:pPr>
      <w:r w:rsidRPr="00327D04">
        <w:t>humidity, light</w:t>
      </w:r>
    </w:p>
    <w:p w:rsidR="00000000" w:rsidRPr="00327D04" w:rsidP="00327D04">
      <w:pPr>
        <w:pStyle w:val="ListBullet2"/>
      </w:pPr>
      <w:r w:rsidRPr="00327D04">
        <w:t>security</w:t>
      </w:r>
    </w:p>
    <w:p w:rsidR="00000000" w:rsidRPr="00327D04" w:rsidP="00327D04">
      <w:pPr>
        <w:pStyle w:val="ListBullet2"/>
      </w:pPr>
      <w:r w:rsidRPr="00327D04">
        <w:t>temperature</w:t>
      </w:r>
    </w:p>
    <w:p w:rsidR="00000000" w:rsidRPr="00327D04" w:rsidP="00327D04">
      <w:pPr>
        <w:pStyle w:val="ListBullet2"/>
      </w:pPr>
      <w:r w:rsidRPr="00327D04">
        <w:t>ventilation</w:t>
      </w:r>
    </w:p>
    <w:p w:rsidR="00000000" w:rsidRPr="00327D04" w:rsidP="00327D04">
      <w:pPr>
        <w:pStyle w:val="ListBullet2"/>
      </w:pPr>
      <w:r w:rsidRPr="00327D04">
        <w:t>hygiene</w:t>
      </w:r>
    </w:p>
    <w:p w:rsidR="00000000" w:rsidRPr="00327D04" w:rsidP="00327D04">
      <w:pPr>
        <w:pStyle w:val="ListBullet"/>
      </w:pPr>
      <w:r w:rsidRPr="00327D04">
        <w:t>appropriate packaging to protect and assess products if changing container for risk of degradation including removing medications from blister packs</w:t>
      </w:r>
    </w:p>
    <w:p w:rsidR="00000000" w:rsidRPr="00327D04" w:rsidP="00327D04">
      <w:pPr>
        <w:pStyle w:val="ListBullet"/>
      </w:pPr>
      <w:r w:rsidRPr="00327D04">
        <w:t>product identification and handling, including those for:</w:t>
      </w:r>
    </w:p>
    <w:p w:rsidR="00000000" w:rsidRPr="00327D04" w:rsidP="00327D04">
      <w:pPr>
        <w:pStyle w:val="ListBullet2"/>
      </w:pPr>
      <w:r w:rsidRPr="00327D04">
        <w:t>formulary medication and non-formulary medicatio</w:t>
      </w:r>
      <w:r w:rsidRPr="00327D04">
        <w:t>n</w:t>
      </w:r>
    </w:p>
    <w:p w:rsidR="00000000" w:rsidRPr="00327D04" w:rsidP="00327D04">
      <w:pPr>
        <w:pStyle w:val="ListBullet2"/>
      </w:pPr>
      <w:r w:rsidRPr="00327D04">
        <w:t>products with the required integrity as well as those whose integrity has been compromised</w:t>
      </w:r>
    </w:p>
    <w:p w:rsidR="00000000" w:rsidRPr="00327D04" w:rsidP="00327D04">
      <w:pPr>
        <w:pStyle w:val="ListBullet2"/>
      </w:pPr>
      <w:r w:rsidRPr="00327D04">
        <w:t>routine handling of products and hazardous medication including cytotoxics and teratogenics requiring special handling.</w:t>
      </w:r>
    </w:p>
    <w:p w:rsidR="00000000" w:rsidRPr="00327D04" w:rsidP="00327D04">
      <w:pPr>
        <w:pStyle w:val="AllowPageBreak"/>
      </w:pPr>
    </w:p>
    <w:p w:rsidR="00000000" w:rsidRPr="00327D04" w:rsidP="00327D04">
      <w:pPr>
        <w:pStyle w:val="Heading1"/>
      </w:pPr>
      <w:bookmarkStart w:id="4" w:name="O_1225327"/>
      <w:bookmarkEnd w:id="4"/>
      <w:r w:rsidRPr="00327D04">
        <w:t>Assessment Conditions</w:t>
      </w:r>
    </w:p>
    <w:p w:rsidR="00000000" w:rsidRPr="00327D04" w:rsidP="00D07251">
      <w:pPr>
        <w:pStyle w:val="BodyText"/>
      </w:pPr>
      <w:r w:rsidRPr="00327D04">
        <w:t>Sk</w:t>
      </w:r>
      <w:r w:rsidRPr="00327D04">
        <w:t>ills must be demonstrated in the workplace with the addition of simulations and scenarios where the full range of contexts and situations have not been provided in the workplace.</w:t>
      </w:r>
    </w:p>
    <w:p w:rsidR="00000000" w:rsidRPr="00327D04" w:rsidP="00D07251">
      <w:pPr>
        <w:pStyle w:val="BodyText"/>
      </w:pPr>
      <w:r w:rsidRPr="00327D04">
        <w:t>Assessment must ensure access to:</w:t>
      </w:r>
    </w:p>
    <w:p w:rsidR="00000000" w:rsidRPr="00327D04" w:rsidP="00327D04">
      <w:pPr>
        <w:pStyle w:val="ListBullet"/>
      </w:pPr>
      <w:r w:rsidRPr="00327D04">
        <w:t xml:space="preserve">use of suitable facilities, equipment and </w:t>
      </w:r>
      <w:r w:rsidRPr="00327D04">
        <w:t>resources, including:</w:t>
      </w:r>
    </w:p>
    <w:p w:rsidR="00000000" w:rsidRPr="00327D04" w:rsidP="00327D04">
      <w:pPr>
        <w:pStyle w:val="ListBullet2"/>
      </w:pPr>
      <w:r w:rsidRPr="00327D04">
        <w:t>measuring equipment</w:t>
      </w:r>
    </w:p>
    <w:p w:rsidR="00000000" w:rsidRPr="00327D04" w:rsidP="00327D04">
      <w:pPr>
        <w:pStyle w:val="ListBullet2"/>
      </w:pPr>
      <w:r w:rsidRPr="00327D04">
        <w:t>packaging equipment and materials</w:t>
      </w:r>
    </w:p>
    <w:p w:rsidR="00000000" w:rsidRPr="00327D04" w:rsidP="00327D04">
      <w:pPr>
        <w:pStyle w:val="ListBullet2"/>
      </w:pPr>
      <w:r w:rsidRPr="00327D04">
        <w:t>pharmaceutical stock management procedures</w:t>
      </w:r>
    </w:p>
    <w:p w:rsidR="00000000" w:rsidRPr="00327D04" w:rsidP="00327D04">
      <w:pPr>
        <w:pStyle w:val="ListBullet"/>
      </w:pPr>
      <w:r w:rsidRPr="00327D04">
        <w:t>modelling of industry operating conditions, including time constraints for completing packaging activities</w:t>
      </w:r>
    </w:p>
    <w:p w:rsidR="00000000" w:rsidRPr="00327D04" w:rsidP="00327D04">
      <w:pPr>
        <w:pStyle w:val="ListBullet"/>
      </w:pPr>
      <w:r w:rsidRPr="00327D04">
        <w:t>authorised person with whom to consult.</w:t>
      </w:r>
    </w:p>
    <w:p w:rsidR="00000000" w:rsidRPr="00327D04" w:rsidP="00D07251">
      <w:pPr>
        <w:pStyle w:val="BodyText"/>
      </w:pPr>
      <w:r w:rsidRPr="00327D04">
        <w:t>Assessors must satisfy the Standards for Registered Training Organisations’ requirements for assessors.</w:t>
      </w:r>
    </w:p>
    <w:p w:rsidR="00000000" w:rsidRPr="00327D04" w:rsidP="00327D04">
      <w:pPr>
        <w:pStyle w:val="Heading1"/>
      </w:pPr>
      <w:bookmarkStart w:id="5" w:name="O_1225325"/>
      <w:bookmarkEnd w:id="5"/>
      <w:r w:rsidRPr="00327D04">
        <w:t>Links</w:t>
      </w:r>
    </w:p>
    <w:p w:rsidR="00000000" w:rsidRPr="00327D04" w:rsidP="00D07251">
      <w:pPr>
        <w:pStyle w:val="BodyText"/>
      </w:pPr>
      <w:r w:rsidRPr="00327D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1774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27D04" w:rsidP="00327D04"/>
    <w:sectPr w:rsidSect="00327D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D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D04" w:rsidRPr="00D07251" w:rsidP="00D072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D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251" w:rsidP="00327D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7251" w:rsidP="00327D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07251" w:rsidP="00327D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D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2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7D04" w:rsidRPr="00D07251" w:rsidP="00D072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D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251" w:rsidRPr="002D2AF8" w:rsidP="00327D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HLTPHA011 Pack pharmaceutical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07251" w:rsidP="00327D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1230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F0A5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4A41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D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7D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7D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7D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7D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7D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7D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7D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7D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7D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7D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7D04"/>
  </w:style>
  <w:style w:type="character" w:customStyle="1" w:styleId="Heading1Char">
    <w:name w:val="Heading 1 Char"/>
    <w:basedOn w:val="DefaultParagraphFont"/>
    <w:link w:val="Heading1"/>
    <w:rsid w:val="00327D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7D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7D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7D0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7D0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7D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7D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27D0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27D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7D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7D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7D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7D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7D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7D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7D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7D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7D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7D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7D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7D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7D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7D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7D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7D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7D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7D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7D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7D04"/>
    <w:rPr>
      <w:b/>
      <w:spacing w:val="0"/>
    </w:rPr>
  </w:style>
  <w:style w:type="paragraph" w:customStyle="1" w:styleId="SuperTitle">
    <w:name w:val="SuperTitle"/>
    <w:basedOn w:val="Title"/>
    <w:rsid w:val="00327D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7D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7D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7D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7D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7D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7D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7D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7D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7D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7D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7D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7D04"/>
    <w:rPr>
      <w:i/>
    </w:rPr>
  </w:style>
  <w:style w:type="paragraph" w:styleId="Caption">
    <w:name w:val="caption"/>
    <w:basedOn w:val="BodyText"/>
    <w:next w:val="Normal"/>
    <w:qFormat/>
    <w:rsid w:val="00327D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7D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7D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7D04"/>
  </w:style>
  <w:style w:type="paragraph" w:styleId="TableofFigures">
    <w:name w:val="table of figures"/>
    <w:basedOn w:val="Normal"/>
    <w:next w:val="Normal"/>
    <w:semiHidden/>
    <w:rsid w:val="00327D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7D0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27D04"/>
    <w:rPr>
      <w:rFonts w:ascii="Wingdings" w:hAnsi="Wingdings"/>
    </w:rPr>
  </w:style>
  <w:style w:type="paragraph" w:customStyle="1" w:styleId="TableHeading">
    <w:name w:val="Table Heading"/>
    <w:basedOn w:val="HeadingBase"/>
    <w:rsid w:val="00327D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7D04"/>
    <w:rPr>
      <w:color w:val="0033CC"/>
      <w:u w:val="none"/>
    </w:rPr>
  </w:style>
  <w:style w:type="paragraph" w:customStyle="1" w:styleId="BodyTextRight">
    <w:name w:val="Body Text Right"/>
    <w:basedOn w:val="BodyText"/>
    <w:rsid w:val="00327D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7D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7D0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7D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7D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7D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7D04"/>
    <w:rPr>
      <w:sz w:val="32"/>
    </w:rPr>
  </w:style>
  <w:style w:type="paragraph" w:customStyle="1" w:styleId="HeadingProcedure">
    <w:name w:val="Heading Procedure"/>
    <w:basedOn w:val="HeadingBase"/>
    <w:next w:val="Normal"/>
    <w:rsid w:val="00327D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7D04"/>
    <w:pPr>
      <w:spacing w:before="60" w:after="60"/>
    </w:pPr>
  </w:style>
  <w:style w:type="paragraph" w:styleId="ListContinue">
    <w:name w:val="List Continue"/>
    <w:basedOn w:val="List"/>
    <w:rsid w:val="00327D04"/>
    <w:pPr>
      <w:ind w:firstLine="0"/>
    </w:pPr>
  </w:style>
  <w:style w:type="paragraph" w:customStyle="1" w:styleId="ListNote">
    <w:name w:val="List Note"/>
    <w:basedOn w:val="List"/>
    <w:rsid w:val="00327D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7D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7D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7D04"/>
    <w:rPr>
      <w:rFonts w:ascii="Courier New" w:hAnsi="Courier New"/>
    </w:rPr>
  </w:style>
  <w:style w:type="paragraph" w:customStyle="1" w:styleId="NoteBullet">
    <w:name w:val="Note Bullet"/>
    <w:basedOn w:val="Note"/>
    <w:rsid w:val="00327D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7D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7D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7D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7D0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27D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7D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7D04"/>
    <w:rPr>
      <w:b/>
      <w:smallCaps/>
    </w:rPr>
  </w:style>
  <w:style w:type="paragraph" w:customStyle="1" w:styleId="TableListNumber">
    <w:name w:val="Table List Number"/>
    <w:basedOn w:val="ListNumber"/>
    <w:rsid w:val="00327D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7D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7D04"/>
    <w:pPr>
      <w:numPr>
        <w:numId w:val="10"/>
      </w:numPr>
    </w:pPr>
  </w:style>
  <w:style w:type="paragraph" w:customStyle="1" w:styleId="ListAlpha2">
    <w:name w:val="List Alpha 2"/>
    <w:basedOn w:val="List2"/>
    <w:rsid w:val="00327D04"/>
    <w:pPr>
      <w:numPr>
        <w:numId w:val="9"/>
      </w:numPr>
    </w:pPr>
  </w:style>
  <w:style w:type="paragraph" w:styleId="List2">
    <w:name w:val="List 2"/>
    <w:basedOn w:val="BodyText"/>
    <w:rsid w:val="00327D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7D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7D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7D0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27D0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27D04"/>
    <w:pPr>
      <w:numPr>
        <w:numId w:val="5"/>
      </w:numPr>
    </w:pPr>
  </w:style>
  <w:style w:type="paragraph" w:styleId="ListContinue2">
    <w:name w:val="List Continue 2"/>
    <w:basedOn w:val="List2"/>
    <w:rsid w:val="00327D04"/>
    <w:pPr>
      <w:ind w:firstLine="0"/>
    </w:pPr>
  </w:style>
  <w:style w:type="paragraph" w:styleId="ListContinue3">
    <w:name w:val="List Continue 3"/>
    <w:basedOn w:val="List3"/>
    <w:rsid w:val="00327D04"/>
    <w:pPr>
      <w:ind w:left="1021" w:firstLine="0"/>
    </w:pPr>
  </w:style>
  <w:style w:type="paragraph" w:styleId="ListContinue4">
    <w:name w:val="List Continue 4"/>
    <w:basedOn w:val="List4"/>
    <w:rsid w:val="00327D04"/>
    <w:pPr>
      <w:ind w:firstLine="0"/>
    </w:pPr>
  </w:style>
  <w:style w:type="paragraph" w:styleId="ListContinue5">
    <w:name w:val="List Continue 5"/>
    <w:basedOn w:val="List5"/>
    <w:rsid w:val="00327D04"/>
    <w:pPr>
      <w:ind w:firstLine="0"/>
    </w:pPr>
  </w:style>
  <w:style w:type="paragraph" w:styleId="ListNumber3">
    <w:name w:val="List Number 3"/>
    <w:basedOn w:val="List3"/>
    <w:rsid w:val="00327D04"/>
    <w:pPr>
      <w:numPr>
        <w:numId w:val="6"/>
      </w:numPr>
    </w:pPr>
  </w:style>
  <w:style w:type="paragraph" w:styleId="ListNumber4">
    <w:name w:val="List Number 4"/>
    <w:basedOn w:val="List4"/>
    <w:rsid w:val="00327D04"/>
    <w:pPr>
      <w:numPr>
        <w:numId w:val="7"/>
      </w:numPr>
    </w:pPr>
  </w:style>
  <w:style w:type="paragraph" w:styleId="ListNumber5">
    <w:name w:val="List Number 5"/>
    <w:basedOn w:val="List5"/>
    <w:rsid w:val="00327D04"/>
    <w:pPr>
      <w:numPr>
        <w:numId w:val="8"/>
      </w:numPr>
    </w:pPr>
  </w:style>
  <w:style w:type="paragraph" w:styleId="BlockText">
    <w:name w:val="Block Text"/>
    <w:basedOn w:val="Normal"/>
    <w:rsid w:val="00327D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7D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7D04"/>
    <w:rPr>
      <w:sz w:val="16"/>
      <w:vertAlign w:val="superscript"/>
    </w:rPr>
  </w:style>
  <w:style w:type="character" w:customStyle="1" w:styleId="Symbols">
    <w:name w:val="Symbols"/>
    <w:basedOn w:val="DefaultParagraphFont"/>
    <w:rsid w:val="00327D04"/>
    <w:rPr>
      <w:rFonts w:ascii="Symbol" w:hAnsi="Symbol"/>
    </w:rPr>
  </w:style>
  <w:style w:type="character" w:customStyle="1" w:styleId="MenuOptions">
    <w:name w:val="Menu Options"/>
    <w:basedOn w:val="DefaultParagraphFont"/>
    <w:rsid w:val="00327D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7D04"/>
    <w:rPr>
      <w:b/>
    </w:rPr>
  </w:style>
  <w:style w:type="character" w:customStyle="1" w:styleId="Underlined">
    <w:name w:val="Underlined"/>
    <w:basedOn w:val="DefaultParagraphFont"/>
    <w:rsid w:val="00327D04"/>
    <w:rPr>
      <w:u w:val="single"/>
    </w:rPr>
  </w:style>
  <w:style w:type="paragraph" w:customStyle="1" w:styleId="TableBodyTextRight">
    <w:name w:val="Table Body Text Right"/>
    <w:basedOn w:val="TableBodyText"/>
    <w:rsid w:val="00327D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7D04"/>
    <w:rPr>
      <w:sz w:val="18"/>
    </w:rPr>
  </w:style>
  <w:style w:type="paragraph" w:customStyle="1" w:styleId="BodySmallRight">
    <w:name w:val="Body Small Right"/>
    <w:basedOn w:val="BodyTextRight"/>
    <w:rsid w:val="00327D04"/>
    <w:rPr>
      <w:sz w:val="18"/>
      <w:szCs w:val="18"/>
    </w:rPr>
  </w:style>
  <w:style w:type="paragraph" w:customStyle="1" w:styleId="MarginEdition">
    <w:name w:val="Margin Edition"/>
    <w:basedOn w:val="MarginNote"/>
    <w:rsid w:val="00327D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7D04"/>
    <w:rPr>
      <w:sz w:val="2"/>
      <w:szCs w:val="2"/>
    </w:rPr>
  </w:style>
  <w:style w:type="character" w:customStyle="1" w:styleId="Small">
    <w:name w:val="Small"/>
    <w:basedOn w:val="DefaultParagraphFont"/>
    <w:rsid w:val="00327D04"/>
    <w:rPr>
      <w:sz w:val="16"/>
    </w:rPr>
  </w:style>
  <w:style w:type="paragraph" w:customStyle="1" w:styleId="WideTable">
    <w:name w:val="Wide Table"/>
    <w:basedOn w:val="Normal"/>
    <w:rsid w:val="00327D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7D04"/>
  </w:style>
  <w:style w:type="paragraph" w:styleId="Quote">
    <w:name w:val="Quote"/>
    <w:basedOn w:val="Heading1"/>
    <w:link w:val="QuoteChar"/>
    <w:qFormat/>
    <w:rsid w:val="00327D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7D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7D04"/>
    <w:pPr>
      <w:pageBreakBefore/>
    </w:pPr>
  </w:style>
  <w:style w:type="paragraph" w:customStyle="1" w:styleId="Border">
    <w:name w:val="Border"/>
    <w:basedOn w:val="Normal"/>
    <w:qFormat/>
    <w:rsid w:val="00327D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7D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D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D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7D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7D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7D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7D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7D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7D04"/>
    <w:rPr>
      <w:u w:val="single"/>
    </w:rPr>
  </w:style>
  <w:style w:type="character" w:customStyle="1" w:styleId="BoldandItalics">
    <w:name w:val="Bold and Italics"/>
    <w:qFormat/>
    <w:rsid w:val="00327D04"/>
    <w:rPr>
      <w:b/>
      <w:i/>
      <w:u w:val="none"/>
    </w:rPr>
  </w:style>
  <w:style w:type="paragraph" w:styleId="BalloonText">
    <w:name w:val="Balloon Text"/>
    <w:basedOn w:val="Normal"/>
    <w:link w:val="BalloonTextChar"/>
    <w:rsid w:val="00327D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7D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7D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7D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7D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7D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7D04"/>
    <w:pPr>
      <w:spacing w:before="0" w:after="0"/>
    </w:pPr>
  </w:style>
  <w:style w:type="paragraph" w:customStyle="1" w:styleId="BodyTextBold">
    <w:name w:val="Body Text Bold"/>
    <w:basedOn w:val="BodyText"/>
    <w:qFormat/>
    <w:rsid w:val="00327D04"/>
    <w:rPr>
      <w:b/>
    </w:rPr>
  </w:style>
  <w:style w:type="character" w:styleId="Hyperlink">
    <w:name w:val="Hyperlink"/>
    <w:basedOn w:val="DefaultParagraphFont"/>
    <w:uiPriority w:val="99"/>
    <w:unhideWhenUsed/>
    <w:rsid w:val="00D072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4034</Characters>
  <Application>Microsoft Office Word</Application>
  <DocSecurity>0</DocSecurity>
  <Lines>109</Lines>
  <Paragraphs>88</Paragraphs>
  <ScaleCrop>false</ScaleCrop>
  <Company>Author-it Software Corporation Ltd.</Company>
  <LinksUpToDate>false</LinksUpToDate>
  <CharactersWithSpaces>4538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HLTPHA011 Pack pharmaceutical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2023-07-02T01:02:00Z</dcterms:created>
  <dcterms:modified xsi:type="dcterms:W3CDTF">2023-07-02T01:02:00Z</dcterms:modified>
</cp:coreProperties>
</file>