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B94" w:rsidP="00B95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HLTPHA010 Maintain pharmaceutical imprest stock</w:t>
      </w:r>
      <w:r>
        <w:fldChar w:fldCharType="end"/>
      </w:r>
    </w:p>
    <w:p w:rsidR="00B95B94" w:rsidP="00B95B94">
      <w:pPr>
        <w:pStyle w:val="Version"/>
        <w:sectPr w:rsidSect="007F3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B1E" w:rsidP="007F3B1E">
      <w:pPr>
        <w:pStyle w:val="SuperHeading"/>
      </w:pPr>
      <w:r w:rsidRPr="007F3B1E">
        <w:t>Assessment Requirements for HLTPHA010 Maintain pharmaceutical imprest stock</w:t>
      </w:r>
    </w:p>
    <w:p w:rsidR="00000000" w:rsidRPr="007F3B1E" w:rsidP="007F3B1E">
      <w:pPr>
        <w:pStyle w:val="Heading1"/>
      </w:pPr>
      <w:bookmarkStart w:id="1" w:name="O_1225311"/>
      <w:bookmarkEnd w:id="1"/>
      <w:r w:rsidRPr="007F3B1E">
        <w:t>Modification History</w:t>
      </w:r>
    </w:p>
    <w:p w:rsidR="00000000" w:rsidRPr="007F3B1E" w:rsidP="00B95B94">
      <w:pPr>
        <w:pStyle w:val="BodyText"/>
      </w:pPr>
      <w:r w:rsidRPr="007F3B1E">
        <w:t>Not applicable.</w:t>
      </w:r>
    </w:p>
    <w:p w:rsidR="00000000" w:rsidRPr="007F3B1E" w:rsidP="007F3B1E">
      <w:pPr>
        <w:pStyle w:val="Heading1"/>
      </w:pPr>
      <w:bookmarkStart w:id="2" w:name="O_1225314"/>
      <w:bookmarkEnd w:id="2"/>
      <w:r w:rsidRPr="007F3B1E">
        <w:t>Performance Evidence</w:t>
      </w:r>
    </w:p>
    <w:p w:rsidR="00000000" w:rsidRPr="007F3B1E" w:rsidP="00B95B94">
      <w:pPr>
        <w:pStyle w:val="BodyText"/>
      </w:pPr>
      <w:r w:rsidRPr="007F3B1E">
        <w:t>Evidence of the ability to complet</w:t>
      </w:r>
      <w:r w:rsidRPr="007F3B1E">
        <w:t>e tasks outlined in elements and performance criteria of this unit in the context of the job role, and:</w:t>
      </w:r>
    </w:p>
    <w:p w:rsidR="00000000" w:rsidRPr="007F3B1E" w:rsidP="007F3B1E">
      <w:pPr>
        <w:pStyle w:val="ListBullet"/>
      </w:pPr>
      <w:r w:rsidRPr="007F3B1E">
        <w:t>monitor imprest stock according to workplace procedures on at least 10 occasions complete associated selection, dispatch and documentation requirements</w:t>
      </w:r>
    </w:p>
    <w:p w:rsidR="00000000" w:rsidRPr="007F3B1E" w:rsidP="007F3B1E">
      <w:pPr>
        <w:pStyle w:val="ListBullet"/>
      </w:pPr>
      <w:r w:rsidRPr="007F3B1E">
        <w:t>identify issues outside scope of own practice and refer to an authorised person</w:t>
      </w:r>
    </w:p>
    <w:p w:rsidR="00000000" w:rsidRPr="007F3B1E" w:rsidP="007F3B1E">
      <w:pPr>
        <w:pStyle w:val="ListBullet"/>
      </w:pPr>
      <w:r w:rsidRPr="007F3B1E">
        <w:t xml:space="preserve">perform the activities outlined in the performance criteria of this unit during a period of at least 240 hours of work related to hospital or health services pharmacy support </w:t>
      </w:r>
      <w:r w:rsidRPr="007F3B1E">
        <w:t>in a clinical workplace environment. These 240 hours may be applied collectively across all units of competency that include the requirement for workplace hours for the purposes of assessment.</w:t>
      </w:r>
    </w:p>
    <w:p w:rsidR="00000000" w:rsidRPr="007F3B1E" w:rsidP="007F3B1E">
      <w:pPr>
        <w:pStyle w:val="AllowPageBreak"/>
      </w:pPr>
    </w:p>
    <w:p w:rsidR="00000000" w:rsidRPr="007F3B1E" w:rsidP="007F3B1E">
      <w:pPr>
        <w:pStyle w:val="Heading1"/>
      </w:pPr>
      <w:bookmarkStart w:id="3" w:name="O_1225313"/>
      <w:bookmarkEnd w:id="3"/>
      <w:r w:rsidRPr="007F3B1E">
        <w:t>Knowledge Evidence</w:t>
      </w:r>
    </w:p>
    <w:p w:rsidR="00000000" w:rsidRPr="007F3B1E" w:rsidP="00B95B94">
      <w:pPr>
        <w:pStyle w:val="BodyText"/>
      </w:pPr>
      <w:r w:rsidRPr="007F3B1E">
        <w:t>Demonstrated knowledge re</w:t>
      </w:r>
      <w:r w:rsidRPr="007F3B1E">
        <w:t>quired to complete the tasks outlined in elements and performance criteria of this unit:</w:t>
      </w:r>
    </w:p>
    <w:p w:rsidR="00000000" w:rsidRPr="007F3B1E" w:rsidP="007F3B1E">
      <w:pPr>
        <w:pStyle w:val="ListBullet"/>
      </w:pPr>
      <w:r w:rsidRPr="007F3B1E">
        <w:t>National and State or Territory legal and ethical requirements for imprest stock monitoring, and how these are applied in organisations, including:</w:t>
      </w:r>
    </w:p>
    <w:p w:rsidR="00000000" w:rsidRPr="007F3B1E" w:rsidP="007F3B1E">
      <w:pPr>
        <w:pStyle w:val="ListBullet2"/>
      </w:pPr>
      <w:r w:rsidRPr="007F3B1E">
        <w:t>codes of conduct</w:t>
      </w:r>
    </w:p>
    <w:p w:rsidR="00000000" w:rsidRPr="007F3B1E" w:rsidP="007F3B1E">
      <w:pPr>
        <w:pStyle w:val="ListBullet2"/>
      </w:pPr>
      <w:r w:rsidRPr="007F3B1E">
        <w:t>duty of care and implications of negligence</w:t>
      </w:r>
    </w:p>
    <w:p w:rsidR="00000000" w:rsidRPr="007F3B1E" w:rsidP="007F3B1E">
      <w:pPr>
        <w:pStyle w:val="ListBullet2"/>
      </w:pPr>
      <w:r w:rsidRPr="007F3B1E">
        <w:t>privacy, confidentiality and disclosure</w:t>
      </w:r>
    </w:p>
    <w:p w:rsidR="00000000" w:rsidRPr="007F3B1E" w:rsidP="007F3B1E">
      <w:pPr>
        <w:pStyle w:val="ListBullet2"/>
      </w:pPr>
      <w:r w:rsidRPr="007F3B1E">
        <w:t>records management</w:t>
      </w:r>
    </w:p>
    <w:p w:rsidR="00000000" w:rsidRPr="007F3B1E" w:rsidP="007F3B1E">
      <w:pPr>
        <w:pStyle w:val="ListBullet2"/>
      </w:pPr>
      <w:r w:rsidRPr="007F3B1E">
        <w:t>rights and responsibilities of workers, employers and patients</w:t>
      </w:r>
    </w:p>
    <w:p w:rsidR="00000000" w:rsidRPr="007F3B1E" w:rsidP="007F3B1E">
      <w:pPr>
        <w:pStyle w:val="ListBullet2"/>
      </w:pPr>
      <w:r w:rsidRPr="007F3B1E">
        <w:t>specific legislation:</w:t>
      </w:r>
    </w:p>
    <w:p w:rsidR="00000000" w:rsidRPr="007F3B1E" w:rsidP="007F3B1E">
      <w:pPr>
        <w:pStyle w:val="ListBullet3"/>
      </w:pPr>
      <w:r w:rsidRPr="007F3B1E">
        <w:t>medications and their use</w:t>
      </w:r>
    </w:p>
    <w:p w:rsidR="00000000" w:rsidRPr="007F3B1E" w:rsidP="007F3B1E">
      <w:pPr>
        <w:pStyle w:val="ListBullet3"/>
      </w:pPr>
      <w:r w:rsidRPr="007F3B1E">
        <w:t>the practice of pharmacy</w:t>
      </w:r>
    </w:p>
    <w:p w:rsidR="00000000" w:rsidRPr="007F3B1E" w:rsidP="007F3B1E">
      <w:pPr>
        <w:pStyle w:val="ListBullet3"/>
      </w:pPr>
      <w:r w:rsidRPr="007F3B1E">
        <w:t>different schedu</w:t>
      </w:r>
      <w:r w:rsidRPr="007F3B1E">
        <w:t>les of medications and pharmaceutical products</w:t>
      </w:r>
    </w:p>
    <w:p w:rsidR="00000000" w:rsidRPr="007F3B1E" w:rsidP="007F3B1E">
      <w:pPr>
        <w:pStyle w:val="ListBullet2"/>
      </w:pPr>
      <w:r w:rsidRPr="007F3B1E">
        <w:t>work role boundaries including responsibilities and limitations</w:t>
      </w:r>
    </w:p>
    <w:p w:rsidR="00000000" w:rsidRPr="007F3B1E" w:rsidP="007F3B1E">
      <w:pPr>
        <w:pStyle w:val="ListBullet2"/>
      </w:pPr>
      <w:r w:rsidRPr="007F3B1E">
        <w:t>work health and safety</w:t>
      </w:r>
    </w:p>
    <w:p w:rsidR="00000000" w:rsidRPr="007F3B1E" w:rsidP="007F3B1E">
      <w:pPr>
        <w:pStyle w:val="ListBullet"/>
      </w:pPr>
      <w:r w:rsidRPr="007F3B1E">
        <w:t>key information in standard pharmaceutical references and their use by pharmacy assistants, including:</w:t>
      </w:r>
    </w:p>
    <w:p w:rsidR="00000000" w:rsidRPr="007F3B1E" w:rsidP="007F3B1E">
      <w:pPr>
        <w:pStyle w:val="ListBullet2"/>
      </w:pPr>
      <w:r w:rsidRPr="007F3B1E">
        <w:t>Australian Pharmaceutical Formulary and Handbook (APF)</w:t>
      </w:r>
    </w:p>
    <w:p w:rsidR="00000000" w:rsidRPr="007F3B1E" w:rsidP="007F3B1E">
      <w:pPr>
        <w:pStyle w:val="ListBullet2"/>
      </w:pPr>
      <w:r w:rsidRPr="007F3B1E">
        <w:t>Monthly Index of Medical Specialities (MIMS) or AusDI Advanced</w:t>
      </w:r>
    </w:p>
    <w:p w:rsidR="00000000" w:rsidRPr="007F3B1E" w:rsidP="007F3B1E">
      <w:pPr>
        <w:pStyle w:val="ListBullet2"/>
      </w:pPr>
      <w:r w:rsidRPr="007F3B1E">
        <w:t>Australian Medicines Handbook (AMH)</w:t>
      </w:r>
    </w:p>
    <w:p w:rsidR="00000000" w:rsidRPr="007F3B1E" w:rsidP="007F3B1E">
      <w:pPr>
        <w:pStyle w:val="ListBullet2"/>
      </w:pPr>
      <w:r w:rsidRPr="007F3B1E">
        <w:t>Micromedex</w:t>
      </w:r>
    </w:p>
    <w:p w:rsidR="00000000" w:rsidRPr="007F3B1E" w:rsidP="007F3B1E">
      <w:pPr>
        <w:pStyle w:val="ListBullet"/>
      </w:pPr>
      <w:r w:rsidRPr="007F3B1E">
        <w:t>understand the principles of safe medication storage to reduce the risk of selection error</w:t>
      </w:r>
      <w:r w:rsidRPr="007F3B1E">
        <w:t>s</w:t>
      </w:r>
    </w:p>
    <w:p w:rsidR="00000000" w:rsidRPr="007F3B1E" w:rsidP="007F3B1E">
      <w:pPr>
        <w:pStyle w:val="ListBullet"/>
      </w:pPr>
      <w:r w:rsidRPr="007F3B1E">
        <w:t>maintenance of the cold chain</w:t>
      </w:r>
    </w:p>
    <w:p w:rsidR="00000000" w:rsidRPr="007F3B1E" w:rsidP="007F3B1E">
      <w:pPr>
        <w:pStyle w:val="ListBullet"/>
      </w:pPr>
      <w:r w:rsidRPr="007F3B1E">
        <w:t>proprietary and generic names of pharmaceutical products and the differences between them</w:t>
      </w:r>
    </w:p>
    <w:p w:rsidR="00000000" w:rsidRPr="007F3B1E" w:rsidP="007F3B1E">
      <w:pPr>
        <w:pStyle w:val="ListBullet"/>
      </w:pPr>
      <w:r w:rsidRPr="007F3B1E">
        <w:t>principles and procedures for imprest stock control</w:t>
      </w:r>
    </w:p>
    <w:p w:rsidR="00000000" w:rsidRPr="007F3B1E" w:rsidP="007F3B1E">
      <w:pPr>
        <w:pStyle w:val="ListBullet"/>
      </w:pPr>
      <w:r w:rsidRPr="007F3B1E">
        <w:t>features of pharmaceutical data management systems</w:t>
      </w:r>
    </w:p>
    <w:p w:rsidR="00000000" w:rsidRPr="007F3B1E" w:rsidP="007F3B1E">
      <w:pPr>
        <w:pStyle w:val="ListBullet"/>
      </w:pPr>
      <w:r w:rsidRPr="007F3B1E">
        <w:t xml:space="preserve">purpose of batch numbering and </w:t>
      </w:r>
      <w:r w:rsidRPr="007F3B1E">
        <w:t>expiry dates on pharmaceutical products.</w:t>
      </w:r>
    </w:p>
    <w:p w:rsidR="00000000" w:rsidRPr="007F3B1E" w:rsidP="007F3B1E">
      <w:pPr>
        <w:pStyle w:val="AllowPageBreak"/>
      </w:pPr>
    </w:p>
    <w:p w:rsidR="00000000" w:rsidRPr="007F3B1E" w:rsidP="007F3B1E">
      <w:pPr>
        <w:pStyle w:val="Heading1"/>
      </w:pPr>
      <w:bookmarkStart w:id="4" w:name="O_1225312"/>
      <w:bookmarkEnd w:id="4"/>
      <w:r w:rsidRPr="007F3B1E">
        <w:t>Assessment Conditions</w:t>
      </w:r>
    </w:p>
    <w:p w:rsidR="00000000" w:rsidRPr="007F3B1E" w:rsidP="00B95B94">
      <w:pPr>
        <w:pStyle w:val="BodyText"/>
      </w:pPr>
      <w:r w:rsidRPr="007F3B1E">
        <w:t>Skills must be demonstrated in the workplace with the addition of simulations and scenarios where the full range of contexts and situations have not been provided in the work</w:t>
      </w:r>
      <w:r w:rsidRPr="007F3B1E">
        <w:t>place.</w:t>
      </w:r>
    </w:p>
    <w:p w:rsidR="00000000" w:rsidRPr="007F3B1E" w:rsidP="00B95B94">
      <w:pPr>
        <w:pStyle w:val="BodyText"/>
      </w:pPr>
      <w:r w:rsidRPr="007F3B1E">
        <w:t>Assessment must ensure access to:</w:t>
      </w:r>
    </w:p>
    <w:p w:rsidR="00000000" w:rsidRPr="007F3B1E" w:rsidP="007F3B1E">
      <w:pPr>
        <w:pStyle w:val="ListBullet"/>
      </w:pPr>
      <w:r w:rsidRPr="007F3B1E">
        <w:t>use of suitable facilities, equipment and resources, including:</w:t>
      </w:r>
    </w:p>
    <w:p w:rsidR="00000000" w:rsidRPr="007F3B1E" w:rsidP="007F3B1E">
      <w:pPr>
        <w:pStyle w:val="ListBullet2"/>
      </w:pPr>
      <w:r w:rsidRPr="007F3B1E">
        <w:t>pharmaceutical stock management procedures</w:t>
      </w:r>
    </w:p>
    <w:p w:rsidR="00000000" w:rsidRPr="007F3B1E" w:rsidP="007F3B1E">
      <w:pPr>
        <w:pStyle w:val="ListBullet2"/>
      </w:pPr>
      <w:r w:rsidRPr="007F3B1E">
        <w:t>pharmacy imprest system</w:t>
      </w:r>
    </w:p>
    <w:p w:rsidR="00000000" w:rsidRPr="007F3B1E" w:rsidP="007F3B1E">
      <w:pPr>
        <w:pStyle w:val="ListBullet2"/>
      </w:pPr>
      <w:r w:rsidRPr="007F3B1E">
        <w:t>pharmaceutical products</w:t>
      </w:r>
    </w:p>
    <w:p w:rsidR="00000000" w:rsidRPr="007F3B1E" w:rsidP="007F3B1E">
      <w:pPr>
        <w:pStyle w:val="ListBullet"/>
      </w:pPr>
      <w:r w:rsidRPr="007F3B1E">
        <w:t>modelling of industry operating conditions, including presence of time constraints for activities</w:t>
      </w:r>
    </w:p>
    <w:p w:rsidR="00000000" w:rsidRPr="007F3B1E" w:rsidP="007F3B1E">
      <w:pPr>
        <w:pStyle w:val="ListBullet"/>
      </w:pPr>
      <w:r w:rsidRPr="007F3B1E">
        <w:t>authorised person with whom to consult.</w:t>
      </w:r>
    </w:p>
    <w:p w:rsidR="00000000" w:rsidRPr="007F3B1E" w:rsidP="00B95B94">
      <w:pPr>
        <w:pStyle w:val="BodyText"/>
      </w:pPr>
      <w:r w:rsidRPr="007F3B1E">
        <w:t>Assessors must satisfy the Standards for Registered Training Organisations’ requirements for assessors.</w:t>
      </w:r>
    </w:p>
    <w:p w:rsidR="00000000" w:rsidRPr="007F3B1E" w:rsidP="007F3B1E">
      <w:pPr>
        <w:pStyle w:val="Heading1"/>
      </w:pPr>
      <w:bookmarkStart w:id="5" w:name="O_1225310"/>
      <w:bookmarkEnd w:id="5"/>
      <w:r w:rsidRPr="007F3B1E">
        <w:t>Links</w:t>
      </w:r>
    </w:p>
    <w:p w:rsidR="00000000" w:rsidRPr="007F3B1E" w:rsidP="00B95B94">
      <w:pPr>
        <w:pStyle w:val="BodyText"/>
      </w:pPr>
      <w:r w:rsidRPr="007F3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35C7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3B1E" w:rsidP="007F3B1E"/>
    <w:sectPr w:rsidSect="007F3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E" w:rsidRPr="00B95B94" w:rsidP="00B95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94" w:rsidP="007F3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B94" w:rsidP="007F3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5B94" w:rsidP="007F3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B1E" w:rsidRPr="00B95B94" w:rsidP="00B95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94" w:rsidRPr="002D2AF8" w:rsidP="007F3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HLTPHA010 Maintain pharmaceutical imprest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95B94" w:rsidP="007F3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B84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A6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64D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B1E"/>
  </w:style>
  <w:style w:type="character" w:customStyle="1" w:styleId="Heading1Char">
    <w:name w:val="Heading 1 Char"/>
    <w:basedOn w:val="DefaultParagraphFont"/>
    <w:link w:val="Heading1"/>
    <w:rsid w:val="007F3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B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B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3B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3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B1E"/>
    <w:rPr>
      <w:b/>
      <w:spacing w:val="0"/>
    </w:rPr>
  </w:style>
  <w:style w:type="paragraph" w:customStyle="1" w:styleId="SuperTitle">
    <w:name w:val="SuperTitle"/>
    <w:basedOn w:val="Title"/>
    <w:rsid w:val="007F3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B1E"/>
    <w:rPr>
      <w:i/>
    </w:rPr>
  </w:style>
  <w:style w:type="paragraph" w:styleId="Caption">
    <w:name w:val="caption"/>
    <w:basedOn w:val="BodyText"/>
    <w:next w:val="Normal"/>
    <w:qFormat/>
    <w:rsid w:val="007F3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B1E"/>
  </w:style>
  <w:style w:type="paragraph" w:styleId="TableofFigures">
    <w:name w:val="table of figures"/>
    <w:basedOn w:val="Normal"/>
    <w:next w:val="Normal"/>
    <w:semiHidden/>
    <w:rsid w:val="007F3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B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3B1E"/>
    <w:rPr>
      <w:rFonts w:ascii="Wingdings" w:hAnsi="Wingdings"/>
    </w:rPr>
  </w:style>
  <w:style w:type="paragraph" w:customStyle="1" w:styleId="TableHeading">
    <w:name w:val="Table Heading"/>
    <w:basedOn w:val="HeadingBase"/>
    <w:rsid w:val="007F3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B1E"/>
    <w:rPr>
      <w:color w:val="0033CC"/>
      <w:u w:val="none"/>
    </w:rPr>
  </w:style>
  <w:style w:type="paragraph" w:customStyle="1" w:styleId="BodyTextRight">
    <w:name w:val="Body Text Right"/>
    <w:basedOn w:val="BodyText"/>
    <w:rsid w:val="007F3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B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B1E"/>
    <w:rPr>
      <w:sz w:val="32"/>
    </w:rPr>
  </w:style>
  <w:style w:type="paragraph" w:customStyle="1" w:styleId="HeadingProcedure">
    <w:name w:val="Heading Procedure"/>
    <w:basedOn w:val="HeadingBase"/>
    <w:next w:val="Normal"/>
    <w:rsid w:val="007F3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B1E"/>
    <w:pPr>
      <w:spacing w:before="60" w:after="60"/>
    </w:pPr>
  </w:style>
  <w:style w:type="paragraph" w:styleId="ListContinue">
    <w:name w:val="List Continue"/>
    <w:basedOn w:val="List"/>
    <w:rsid w:val="007F3B1E"/>
    <w:pPr>
      <w:ind w:firstLine="0"/>
    </w:pPr>
  </w:style>
  <w:style w:type="paragraph" w:customStyle="1" w:styleId="ListNote">
    <w:name w:val="List Note"/>
    <w:basedOn w:val="List"/>
    <w:rsid w:val="007F3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B1E"/>
    <w:rPr>
      <w:rFonts w:ascii="Courier New" w:hAnsi="Courier New"/>
    </w:rPr>
  </w:style>
  <w:style w:type="paragraph" w:customStyle="1" w:styleId="NoteBullet">
    <w:name w:val="Note Bullet"/>
    <w:basedOn w:val="Note"/>
    <w:rsid w:val="007F3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B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3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B1E"/>
    <w:rPr>
      <w:b/>
      <w:smallCaps/>
    </w:rPr>
  </w:style>
  <w:style w:type="paragraph" w:customStyle="1" w:styleId="TableListNumber">
    <w:name w:val="Table List Number"/>
    <w:basedOn w:val="ListNumber"/>
    <w:rsid w:val="007F3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B1E"/>
    <w:pPr>
      <w:numPr>
        <w:numId w:val="10"/>
      </w:numPr>
    </w:pPr>
  </w:style>
  <w:style w:type="paragraph" w:customStyle="1" w:styleId="ListAlpha2">
    <w:name w:val="List Alpha 2"/>
    <w:basedOn w:val="List2"/>
    <w:rsid w:val="007F3B1E"/>
    <w:pPr>
      <w:numPr>
        <w:numId w:val="9"/>
      </w:numPr>
    </w:pPr>
  </w:style>
  <w:style w:type="paragraph" w:styleId="List2">
    <w:name w:val="List 2"/>
    <w:basedOn w:val="BodyText"/>
    <w:rsid w:val="007F3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B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3B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3B1E"/>
    <w:pPr>
      <w:numPr>
        <w:numId w:val="5"/>
      </w:numPr>
    </w:pPr>
  </w:style>
  <w:style w:type="paragraph" w:styleId="ListContinue2">
    <w:name w:val="List Continue 2"/>
    <w:basedOn w:val="List2"/>
    <w:rsid w:val="007F3B1E"/>
    <w:pPr>
      <w:ind w:firstLine="0"/>
    </w:pPr>
  </w:style>
  <w:style w:type="paragraph" w:styleId="ListContinue3">
    <w:name w:val="List Continue 3"/>
    <w:basedOn w:val="List3"/>
    <w:rsid w:val="007F3B1E"/>
    <w:pPr>
      <w:ind w:left="1021" w:firstLine="0"/>
    </w:pPr>
  </w:style>
  <w:style w:type="paragraph" w:styleId="ListContinue4">
    <w:name w:val="List Continue 4"/>
    <w:basedOn w:val="List4"/>
    <w:rsid w:val="007F3B1E"/>
    <w:pPr>
      <w:ind w:firstLine="0"/>
    </w:pPr>
  </w:style>
  <w:style w:type="paragraph" w:styleId="ListContinue5">
    <w:name w:val="List Continue 5"/>
    <w:basedOn w:val="List5"/>
    <w:rsid w:val="007F3B1E"/>
    <w:pPr>
      <w:ind w:firstLine="0"/>
    </w:pPr>
  </w:style>
  <w:style w:type="paragraph" w:styleId="ListNumber3">
    <w:name w:val="List Number 3"/>
    <w:basedOn w:val="List3"/>
    <w:rsid w:val="007F3B1E"/>
    <w:pPr>
      <w:numPr>
        <w:numId w:val="6"/>
      </w:numPr>
    </w:pPr>
  </w:style>
  <w:style w:type="paragraph" w:styleId="ListNumber4">
    <w:name w:val="List Number 4"/>
    <w:basedOn w:val="List4"/>
    <w:rsid w:val="007F3B1E"/>
    <w:pPr>
      <w:numPr>
        <w:numId w:val="7"/>
      </w:numPr>
    </w:pPr>
  </w:style>
  <w:style w:type="paragraph" w:styleId="ListNumber5">
    <w:name w:val="List Number 5"/>
    <w:basedOn w:val="List5"/>
    <w:rsid w:val="007F3B1E"/>
    <w:pPr>
      <w:numPr>
        <w:numId w:val="8"/>
      </w:numPr>
    </w:pPr>
  </w:style>
  <w:style w:type="paragraph" w:styleId="BlockText">
    <w:name w:val="Block Text"/>
    <w:basedOn w:val="Normal"/>
    <w:rsid w:val="007F3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B1E"/>
    <w:rPr>
      <w:sz w:val="16"/>
      <w:vertAlign w:val="superscript"/>
    </w:rPr>
  </w:style>
  <w:style w:type="character" w:customStyle="1" w:styleId="Symbols">
    <w:name w:val="Symbols"/>
    <w:basedOn w:val="DefaultParagraphFont"/>
    <w:rsid w:val="007F3B1E"/>
    <w:rPr>
      <w:rFonts w:ascii="Symbol" w:hAnsi="Symbol"/>
    </w:rPr>
  </w:style>
  <w:style w:type="character" w:customStyle="1" w:styleId="MenuOptions">
    <w:name w:val="Menu Options"/>
    <w:basedOn w:val="DefaultParagraphFont"/>
    <w:rsid w:val="007F3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B1E"/>
    <w:rPr>
      <w:b/>
    </w:rPr>
  </w:style>
  <w:style w:type="character" w:customStyle="1" w:styleId="Underlined">
    <w:name w:val="Underlined"/>
    <w:basedOn w:val="DefaultParagraphFont"/>
    <w:rsid w:val="007F3B1E"/>
    <w:rPr>
      <w:u w:val="single"/>
    </w:rPr>
  </w:style>
  <w:style w:type="paragraph" w:customStyle="1" w:styleId="TableBodyTextRight">
    <w:name w:val="Table Body Text Right"/>
    <w:basedOn w:val="TableBodyText"/>
    <w:rsid w:val="007F3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B1E"/>
    <w:rPr>
      <w:sz w:val="18"/>
    </w:rPr>
  </w:style>
  <w:style w:type="paragraph" w:customStyle="1" w:styleId="BodySmallRight">
    <w:name w:val="Body Small Right"/>
    <w:basedOn w:val="BodyTextRight"/>
    <w:rsid w:val="007F3B1E"/>
    <w:rPr>
      <w:sz w:val="18"/>
      <w:szCs w:val="18"/>
    </w:rPr>
  </w:style>
  <w:style w:type="paragraph" w:customStyle="1" w:styleId="MarginEdition">
    <w:name w:val="Margin Edition"/>
    <w:basedOn w:val="MarginNote"/>
    <w:rsid w:val="007F3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B1E"/>
    <w:rPr>
      <w:sz w:val="2"/>
      <w:szCs w:val="2"/>
    </w:rPr>
  </w:style>
  <w:style w:type="character" w:customStyle="1" w:styleId="Small">
    <w:name w:val="Small"/>
    <w:basedOn w:val="DefaultParagraphFont"/>
    <w:rsid w:val="007F3B1E"/>
    <w:rPr>
      <w:sz w:val="16"/>
    </w:rPr>
  </w:style>
  <w:style w:type="paragraph" w:customStyle="1" w:styleId="WideTable">
    <w:name w:val="Wide Table"/>
    <w:basedOn w:val="Normal"/>
    <w:rsid w:val="007F3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B1E"/>
  </w:style>
  <w:style w:type="paragraph" w:styleId="Quote">
    <w:name w:val="Quote"/>
    <w:basedOn w:val="Heading1"/>
    <w:link w:val="QuoteChar"/>
    <w:qFormat/>
    <w:rsid w:val="007F3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B1E"/>
    <w:pPr>
      <w:pageBreakBefore/>
    </w:pPr>
  </w:style>
  <w:style w:type="paragraph" w:customStyle="1" w:styleId="Border">
    <w:name w:val="Border"/>
    <w:basedOn w:val="Normal"/>
    <w:qFormat/>
    <w:rsid w:val="007F3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B1E"/>
    <w:rPr>
      <w:u w:val="single"/>
    </w:rPr>
  </w:style>
  <w:style w:type="character" w:customStyle="1" w:styleId="BoldandItalics">
    <w:name w:val="Bold and Italics"/>
    <w:qFormat/>
    <w:rsid w:val="007F3B1E"/>
    <w:rPr>
      <w:b/>
      <w:i/>
      <w:u w:val="none"/>
    </w:rPr>
  </w:style>
  <w:style w:type="paragraph" w:styleId="BalloonText">
    <w:name w:val="Balloon Text"/>
    <w:basedOn w:val="Normal"/>
    <w:link w:val="BalloonTextChar"/>
    <w:rsid w:val="007F3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B1E"/>
    <w:pPr>
      <w:spacing w:before="0" w:after="0"/>
    </w:pPr>
  </w:style>
  <w:style w:type="paragraph" w:customStyle="1" w:styleId="BodyTextBold">
    <w:name w:val="Body Text Bold"/>
    <w:basedOn w:val="BodyText"/>
    <w:qFormat/>
    <w:rsid w:val="007F3B1E"/>
    <w:rPr>
      <w:b/>
    </w:rPr>
  </w:style>
  <w:style w:type="character" w:styleId="Hyperlink">
    <w:name w:val="Hyperlink"/>
    <w:basedOn w:val="DefaultParagraphFont"/>
    <w:uiPriority w:val="99"/>
    <w:unhideWhenUsed/>
    <w:rsid w:val="00B95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2832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HLTPHA010 Maintain pharmaceutical imprest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