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FA3" w:rsidP="001B7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HLTPHA009 Support pharmacists in the collection and presentation of workplace data and information</w:t>
      </w:r>
      <w:r>
        <w:fldChar w:fldCharType="end"/>
      </w:r>
    </w:p>
    <w:p w:rsidR="001B7FA3" w:rsidP="001B7FA3">
      <w:pPr>
        <w:pStyle w:val="Version"/>
        <w:sectPr w:rsidSect="004C0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4B7" w:rsidP="004C04B7">
      <w:pPr>
        <w:pStyle w:val="SuperHeading"/>
      </w:pPr>
      <w:r w:rsidRPr="004C04B7">
        <w:t>HLTPHA009 Support pharmacists in the collection and presentation of workplace data and information</w:t>
      </w:r>
    </w:p>
    <w:p w:rsidR="00000000" w:rsidRPr="004C04B7" w:rsidP="004C04B7">
      <w:pPr>
        <w:pStyle w:val="Heading1"/>
      </w:pPr>
      <w:bookmarkStart w:id="1" w:name="O_657289"/>
      <w:bookmarkEnd w:id="1"/>
      <w:r w:rsidRPr="004C04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C0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rPr>
                <w:rStyle w:val="SpecialBold"/>
              </w:rPr>
              <w:t>Comments</w:t>
            </w:r>
          </w:p>
        </w:tc>
      </w:tr>
      <w:tr w:rsidTr="004C0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t xml:space="preserve">This version was released in </w:t>
            </w:r>
            <w:r w:rsidRPr="004C04B7">
              <w:rPr>
                <w:rStyle w:val="Emphasis"/>
              </w:rPr>
              <w:t>HLT Health Training Package release 2.0</w:t>
            </w:r>
            <w:r w:rsidRPr="004C04B7">
              <w:t xml:space="preserve"> and meets the requirements of the 2012 Standards for Training Packages.</w:t>
            </w:r>
          </w:p>
          <w:p w:rsidR="00000000" w:rsidRPr="004C04B7" w:rsidP="004C04B7">
            <w:pPr>
              <w:pStyle w:val="BodyText"/>
            </w:pPr>
            <w:r w:rsidRPr="004C04B7">
              <w:t>Minimal changes to the elements and performance criteria. New evidence requirements for assessment, including volume and frequency. Significant changes to knowledge evidence.</w:t>
            </w:r>
          </w:p>
        </w:tc>
      </w:tr>
    </w:tbl>
    <w:p w:rsidR="001B7FA3" w:rsidP="004C04B7">
      <w:pPr>
        <w:pStyle w:val="BodyText"/>
      </w:pPr>
    </w:p>
    <w:p w:rsidR="001B7FA3" w:rsidP="004C04B7">
      <w:pPr>
        <w:pStyle w:val="BodyText"/>
      </w:pPr>
    </w:p>
    <w:p w:rsidR="00000000" w:rsidRPr="004C04B7" w:rsidP="004C04B7">
      <w:pPr>
        <w:pStyle w:val="Heading1"/>
      </w:pPr>
      <w:bookmarkStart w:id="2" w:name="O_657290"/>
      <w:bookmarkEnd w:id="2"/>
      <w:r w:rsidRPr="004C04B7">
        <w:t>Application</w:t>
      </w:r>
    </w:p>
    <w:p w:rsidR="00000000" w:rsidRPr="004C04B7" w:rsidP="001B7FA3">
      <w:pPr>
        <w:pStyle w:val="BodyText"/>
      </w:pPr>
      <w:r w:rsidRPr="004C04B7">
        <w:t>This unit describes the skills and knowledge required to identify pharmacy data and information collection requirements and to collect and present the information.</w:t>
      </w:r>
    </w:p>
    <w:p w:rsidR="00000000" w:rsidRPr="004C04B7" w:rsidP="001B7FA3">
      <w:pPr>
        <w:pStyle w:val="BodyText"/>
      </w:pPr>
      <w:r w:rsidRPr="004C04B7">
        <w:t>It applies to pharmacy assistants and technicians working under the</w:t>
      </w:r>
      <w:r w:rsidRPr="004C04B7">
        <w:t xml:space="preserve"> supervision of a pharmacist. </w:t>
      </w:r>
    </w:p>
    <w:p w:rsidR="001B7FA3" w:rsidRPr="001B7FA3" w:rsidP="001B7FA3">
      <w:pPr>
        <w:pStyle w:val="BodyText"/>
        <w:rPr>
          <w:i/>
        </w:rPr>
      </w:pPr>
      <w:r w:rsidRPr="001B7FA3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C04B7" w:rsidP="004C04B7">
      <w:pPr>
        <w:pStyle w:val="Heading1"/>
      </w:pPr>
      <w:bookmarkStart w:id="3" w:name="O_657294"/>
      <w:bookmarkEnd w:id="3"/>
      <w:r w:rsidRPr="004C04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rPr>
                <w:rStyle w:val="SpecialBold"/>
              </w:rPr>
              <w:t>PERFORMANCE CRITERIA</w:t>
            </w:r>
          </w:p>
        </w:tc>
      </w:tr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1. Identify and address requirements for data and information collection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t>1.1 Obtain and cla</w:t>
            </w:r>
            <w:r w:rsidRPr="004C04B7">
              <w:t>rify instructions from pharmacist to ensure correct understanding</w:t>
            </w:r>
          </w:p>
          <w:p w:rsidR="00000000" w:rsidRPr="004C04B7" w:rsidP="004C04B7">
            <w:pPr>
              <w:pStyle w:val="BodyText"/>
            </w:pPr>
            <w:r w:rsidRPr="004C04B7">
              <w:t>1.2 Identify purpose and audience of the data and information to be collected</w:t>
            </w:r>
          </w:p>
          <w:p w:rsidR="00000000" w:rsidRPr="004C04B7" w:rsidP="004C04B7">
            <w:pPr>
              <w:pStyle w:val="BodyText"/>
            </w:pPr>
            <w:r w:rsidRPr="004C04B7">
              <w:t xml:space="preserve">1.3 Determine appropriate data and information sources </w:t>
            </w:r>
          </w:p>
          <w:p w:rsidR="00000000" w:rsidRPr="004C04B7" w:rsidP="004C04B7">
            <w:pPr>
              <w:pStyle w:val="BodyText"/>
            </w:pPr>
            <w:r w:rsidRPr="004C04B7">
              <w:t xml:space="preserve">1.4 Establish timeframe for data and information </w:t>
            </w:r>
            <w:r w:rsidRPr="004C04B7">
              <w:t>collect</w:t>
            </w:r>
            <w:r w:rsidRPr="004C04B7">
              <w:t>ion</w:t>
            </w:r>
          </w:p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1.5 Collect data and information to address identified requirements</w:t>
            </w:r>
          </w:p>
        </w:tc>
      </w:tr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</w:p>
        </w:tc>
      </w:tr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2. Prepare data and information for 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t>2.1 Check data and information for completeness and accuracy and respond to discrepancies</w:t>
            </w:r>
          </w:p>
          <w:p w:rsidR="00000000" w:rsidRPr="004C04B7" w:rsidP="004C04B7">
            <w:pPr>
              <w:pStyle w:val="BodyText"/>
            </w:pPr>
            <w:r w:rsidRPr="004C04B7">
              <w:t>2.2 Analyse data and information to address identi</w:t>
            </w:r>
            <w:r w:rsidRPr="004C04B7">
              <w:t>fied purpose and audience</w:t>
            </w:r>
          </w:p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2.3 Collate data and information in a logical manner and prepare for presentation</w:t>
            </w:r>
          </w:p>
        </w:tc>
      </w:tr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</w:p>
        </w:tc>
      </w:tr>
      <w:tr w:rsidTr="001B7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3. Present workplace data and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t>3.1 Select appropriate modes of communication to suit the purpose and context of the information being provided</w:t>
            </w:r>
          </w:p>
          <w:p w:rsidR="00000000" w:rsidRPr="004C04B7" w:rsidP="004C04B7">
            <w:pPr>
              <w:pStyle w:val="BodyText"/>
            </w:pPr>
            <w:r w:rsidRPr="004C04B7">
              <w:t>3.2 Explain data and information to others as required to support its application to workplace operations</w:t>
            </w:r>
          </w:p>
          <w:p w:rsidR="00000000" w:rsidRPr="004C04B7" w:rsidP="004C04B7">
            <w:pPr>
              <w:pStyle w:val="BodyText"/>
            </w:pPr>
            <w:r w:rsidRPr="004C04B7">
              <w:t>3.3 Answer questions about the data an</w:t>
            </w:r>
            <w:r w:rsidRPr="004C04B7">
              <w:t>d information collected and clarify appropriately within scope of practice</w:t>
            </w:r>
          </w:p>
          <w:p w:rsidR="00000000" w:rsidRPr="004C04B7" w:rsidP="004C04B7">
            <w:pPr>
              <w:pStyle w:val="BodyText"/>
            </w:pPr>
            <w:r w:rsidRPr="004C04B7">
              <w:t>3.4 Record and store data and information according to workplace procedures</w:t>
            </w:r>
          </w:p>
        </w:tc>
      </w:tr>
    </w:tbl>
    <w:p w:rsidR="001B7FA3" w:rsidP="004C04B7">
      <w:pPr>
        <w:pStyle w:val="BodyText"/>
      </w:pPr>
    </w:p>
    <w:p w:rsidR="001B7FA3" w:rsidP="004C04B7">
      <w:pPr>
        <w:pStyle w:val="BodyText"/>
      </w:pPr>
    </w:p>
    <w:p w:rsidR="00000000" w:rsidRPr="004C04B7" w:rsidP="004C04B7">
      <w:pPr>
        <w:pStyle w:val="Heading1"/>
      </w:pPr>
      <w:bookmarkStart w:id="4" w:name="O_657295"/>
      <w:bookmarkEnd w:id="4"/>
      <w:r w:rsidRPr="004C04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C0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rPr>
                <w:rStyle w:val="Emphasis"/>
              </w:rPr>
              <w:t>The Foundation Skills describe those required skills (language, lit</w:t>
            </w:r>
            <w:r w:rsidRPr="004C04B7">
              <w:rPr>
                <w:rStyle w:val="Emphasis"/>
              </w:rPr>
              <w:t xml:space="preserve">eracy, numeracy and employment </w:t>
            </w:r>
            <w:r w:rsidRPr="004C04B7">
              <w:t xml:space="preserve">skills) that are essential </w:t>
            </w:r>
            <w:r w:rsidRPr="004C04B7">
              <w:rPr>
                <w:rStyle w:val="Emphasis"/>
              </w:rPr>
              <w:t>to performance.</w:t>
            </w:r>
          </w:p>
        </w:tc>
      </w:tr>
      <w:tr w:rsidTr="004C0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</w:p>
          <w:p w:rsidR="00000000" w:rsidRPr="004C04B7" w:rsidP="004C04B7">
            <w:pPr>
              <w:pStyle w:val="BodyText"/>
            </w:pPr>
            <w:r w:rsidRPr="004C04B7">
              <w:t>Foundation skills essential to performance are explicit in the performance criteria of this unit of competency.</w:t>
            </w:r>
          </w:p>
        </w:tc>
      </w:tr>
    </w:tbl>
    <w:p w:rsidR="001B7FA3" w:rsidP="004C04B7">
      <w:pPr>
        <w:pStyle w:val="BodyText"/>
      </w:pPr>
    </w:p>
    <w:p w:rsidR="001B7FA3" w:rsidP="004C04B7">
      <w:pPr>
        <w:pStyle w:val="BodyText"/>
      </w:pPr>
    </w:p>
    <w:p w:rsidR="00000000" w:rsidRPr="004C04B7" w:rsidP="004C04B7">
      <w:pPr>
        <w:pStyle w:val="Heading1"/>
      </w:pPr>
      <w:bookmarkStart w:id="5" w:name="O_657297"/>
      <w:bookmarkEnd w:id="5"/>
      <w:r w:rsidRPr="004C04B7">
        <w:t>Unit Mapping Information</w:t>
      </w:r>
    </w:p>
    <w:p w:rsidR="00000000" w:rsidRPr="004C04B7" w:rsidP="001B7FA3">
      <w:pPr>
        <w:pStyle w:val="BodyText"/>
      </w:pPr>
      <w:r w:rsidRPr="004C04B7">
        <w:t xml:space="preserve">No equivalent unit. </w:t>
      </w:r>
    </w:p>
    <w:p w:rsidR="00000000" w:rsidRPr="004C04B7" w:rsidP="004C04B7">
      <w:pPr>
        <w:pStyle w:val="Heading1"/>
      </w:pPr>
      <w:bookmarkStart w:id="6" w:name="O_657304"/>
      <w:bookmarkEnd w:id="6"/>
      <w:r w:rsidRPr="004C04B7">
        <w:t>Links</w:t>
      </w:r>
    </w:p>
    <w:p w:rsidR="00000000" w:rsidRPr="004C04B7" w:rsidP="001B7FA3">
      <w:pPr>
        <w:pStyle w:val="BodyText"/>
      </w:pPr>
      <w:r w:rsidRPr="004C04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12C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C04B7" w:rsidP="001B7FA3">
      <w:pPr>
        <w:pStyle w:val="BodyText"/>
        <w:sectPr w:rsidSect="004C04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4B7" w:rsidP="004C04B7">
      <w:pPr>
        <w:pStyle w:val="SuperHeading"/>
      </w:pPr>
      <w:r w:rsidRPr="004C04B7">
        <w:t>Assessment Requirements for HLTPHA009 Sup</w:t>
      </w:r>
      <w:r w:rsidRPr="004C04B7">
        <w:t>port pharmacists in the collection and presentation of workplace data and information</w:t>
      </w:r>
    </w:p>
    <w:p w:rsidR="00000000" w:rsidRPr="004C04B7" w:rsidP="004C04B7">
      <w:pPr>
        <w:pStyle w:val="Heading1"/>
      </w:pPr>
      <w:bookmarkStart w:id="7" w:name="O_657299"/>
      <w:bookmarkEnd w:id="7"/>
      <w:r w:rsidRPr="004C04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C0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rPr>
                <w:rStyle w:val="SpecialBold"/>
              </w:rPr>
              <w:t>Comments</w:t>
            </w:r>
          </w:p>
        </w:tc>
      </w:tr>
      <w:tr w:rsidTr="004C0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B7">
            <w:pPr>
              <w:pStyle w:val="BodyText"/>
              <w:rPr>
                <w:lang w:val="en-NZ"/>
              </w:rPr>
            </w:pPr>
            <w:r w:rsidRPr="004C04B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B7" w:rsidP="004C04B7">
            <w:pPr>
              <w:pStyle w:val="BodyText"/>
            </w:pPr>
            <w:r w:rsidRPr="004C04B7">
              <w:t xml:space="preserve">This version was released in </w:t>
            </w:r>
            <w:r w:rsidRPr="004C04B7">
              <w:rPr>
                <w:rStyle w:val="Emphasis"/>
              </w:rPr>
              <w:t>HLT Health Training Package release 2.0</w:t>
            </w:r>
            <w:r w:rsidRPr="004C04B7">
              <w:t xml:space="preserve"> and meets the requirements of the 2012 Standards for Training Packages.</w:t>
            </w:r>
          </w:p>
          <w:p w:rsidR="00000000" w:rsidRPr="004C04B7" w:rsidP="004C04B7">
            <w:pPr>
              <w:pStyle w:val="BodyText"/>
            </w:pPr>
            <w:r w:rsidRPr="004C04B7">
              <w:t>Minimal changes to the elements and performance criteria. New evidence requirements for assessment, including volume and frequency. Significant changes to knowledge evidence.</w:t>
            </w:r>
          </w:p>
        </w:tc>
      </w:tr>
    </w:tbl>
    <w:p w:rsidR="001B7FA3" w:rsidP="004C04B7">
      <w:pPr>
        <w:pStyle w:val="BodyText"/>
      </w:pPr>
    </w:p>
    <w:p w:rsidR="001B7FA3" w:rsidP="004C04B7">
      <w:pPr>
        <w:pStyle w:val="BodyText"/>
      </w:pPr>
    </w:p>
    <w:p w:rsidR="00000000" w:rsidRPr="004C04B7" w:rsidP="004C04B7">
      <w:pPr>
        <w:pStyle w:val="Heading1"/>
      </w:pPr>
      <w:bookmarkStart w:id="8" w:name="O_657300"/>
      <w:bookmarkEnd w:id="8"/>
      <w:r w:rsidRPr="004C04B7">
        <w:t>Performance Evidence</w:t>
      </w:r>
    </w:p>
    <w:p w:rsidR="00000000" w:rsidRPr="004C04B7" w:rsidP="001B7FA3">
      <w:pPr>
        <w:pStyle w:val="BodyText"/>
      </w:pPr>
      <w:r w:rsidRPr="004C04B7">
        <w:t xml:space="preserve">The candidate must show evidence of the ability to complete tasks outlined in elements and performance criteria of this unit, manage tasks and manage contingencies </w:t>
      </w:r>
      <w:r w:rsidRPr="004C04B7">
        <w:t>in the context of the job role. There must be evidence that the candidate has:</w:t>
      </w:r>
    </w:p>
    <w:p w:rsidR="00000000" w:rsidRPr="004C04B7" w:rsidP="004C04B7">
      <w:pPr>
        <w:pStyle w:val="ListBullet"/>
      </w:pPr>
      <w:r w:rsidRPr="004C04B7">
        <w:t xml:space="preserve">complied with legal, organisational and Society of Hospital Pharmacists (SHPA) </w:t>
      </w:r>
      <w:r w:rsidRPr="004C04B7">
        <w:rPr>
          <w:rStyle w:val="Emphasis"/>
        </w:rPr>
        <w:t xml:space="preserve">Standards of practice for clinical pharmacy services </w:t>
      </w:r>
      <w:r w:rsidRPr="004C04B7">
        <w:t xml:space="preserve">for collection and presentation of accurate </w:t>
      </w:r>
      <w:r w:rsidRPr="004C04B7">
        <w:t>data and information:</w:t>
      </w:r>
    </w:p>
    <w:p w:rsidR="00000000" w:rsidRPr="004C04B7" w:rsidP="004C04B7">
      <w:pPr>
        <w:pStyle w:val="ListBullet2"/>
      </w:pPr>
      <w:r w:rsidRPr="004C04B7">
        <w:t>screened at least 30 laboratory tests for abnormal results and notified the pharmacist</w:t>
      </w:r>
    </w:p>
    <w:p w:rsidR="00000000" w:rsidRPr="004C04B7" w:rsidP="004C04B7">
      <w:pPr>
        <w:pStyle w:val="ListBullet2"/>
      </w:pPr>
      <w:r w:rsidRPr="004C04B7">
        <w:t>sourced and gathered at least one set of data or information for the following:</w:t>
      </w:r>
    </w:p>
    <w:p w:rsidR="00000000" w:rsidRPr="004C04B7" w:rsidP="004C04B7">
      <w:pPr>
        <w:pStyle w:val="ListBullet3"/>
      </w:pPr>
      <w:r w:rsidRPr="004C04B7">
        <w:t xml:space="preserve">preparatory information required for reporting adverse drug reactions and other medication incidents </w:t>
      </w:r>
    </w:p>
    <w:p w:rsidR="00000000" w:rsidRPr="004C04B7" w:rsidP="004C04B7">
      <w:pPr>
        <w:pStyle w:val="ListBullet3"/>
      </w:pPr>
      <w:r w:rsidRPr="004C04B7">
        <w:t>drug utilisation evaluation /audit information requested by the pharmacist</w:t>
      </w:r>
    </w:p>
    <w:p w:rsidR="00000000" w:rsidRPr="004C04B7" w:rsidP="004C04B7">
      <w:pPr>
        <w:pStyle w:val="ListBullet3"/>
      </w:pPr>
      <w:r w:rsidRPr="004C04B7">
        <w:t>specific client data</w:t>
      </w:r>
    </w:p>
    <w:p w:rsidR="00000000" w:rsidRPr="004C04B7" w:rsidP="004C04B7">
      <w:pPr>
        <w:pStyle w:val="ListBullet2"/>
      </w:pPr>
      <w:r w:rsidRPr="004C04B7">
        <w:t>arranged information and presented it in a form appropria</w:t>
      </w:r>
      <w:r w:rsidRPr="004C04B7">
        <w:t>te for the purpose of organisation’s work practices</w:t>
      </w:r>
    </w:p>
    <w:p w:rsidR="00000000" w:rsidRPr="004C04B7" w:rsidP="004C04B7">
      <w:pPr>
        <w:pStyle w:val="AllowPageBreak"/>
      </w:pPr>
    </w:p>
    <w:p w:rsidR="00000000" w:rsidRPr="004C04B7" w:rsidP="004C04B7">
      <w:pPr>
        <w:pStyle w:val="Heading1"/>
      </w:pPr>
      <w:bookmarkStart w:id="9" w:name="O_657301"/>
      <w:bookmarkEnd w:id="9"/>
      <w:r w:rsidRPr="004C04B7">
        <w:t>Knowledge Evidence</w:t>
      </w:r>
    </w:p>
    <w:p w:rsidR="00000000" w:rsidRPr="004C04B7" w:rsidP="001B7FA3">
      <w:pPr>
        <w:pStyle w:val="BodyText"/>
      </w:pPr>
      <w:r w:rsidRPr="004C04B7">
        <w:t xml:space="preserve">The candidate must be able to demonstrate essential knowledge required to effectively complete tasks outlined in elements and performance criteria of this unit, manage </w:t>
      </w:r>
      <w:r w:rsidRPr="004C04B7">
        <w:t>tasks and manage contingencies in the context of the work role. This includes knowledge of:</w:t>
      </w:r>
    </w:p>
    <w:p w:rsidR="00000000" w:rsidRPr="004C04B7" w:rsidP="004C04B7">
      <w:pPr>
        <w:pStyle w:val="ListBullet"/>
      </w:pPr>
      <w:r w:rsidRPr="004C04B7">
        <w:t>legal and ethical requirements (national, state/territory) for pharmacy work, and how these are applied in organisations, including:</w:t>
      </w:r>
    </w:p>
    <w:p w:rsidR="00000000" w:rsidRPr="004C04B7" w:rsidP="004C04B7">
      <w:pPr>
        <w:pStyle w:val="ListBullet2"/>
      </w:pPr>
      <w:r w:rsidRPr="004C04B7">
        <w:t>codes of conduct</w:t>
      </w:r>
    </w:p>
    <w:p w:rsidR="00000000" w:rsidRPr="004C04B7" w:rsidP="004C04B7">
      <w:pPr>
        <w:pStyle w:val="ListBullet2"/>
      </w:pPr>
      <w:r w:rsidRPr="004C04B7">
        <w:t>duty of care (and implications of negligence)</w:t>
      </w:r>
    </w:p>
    <w:p w:rsidR="00000000" w:rsidRPr="004C04B7" w:rsidP="004C04B7">
      <w:pPr>
        <w:pStyle w:val="ListBullet2"/>
      </w:pPr>
      <w:r w:rsidRPr="004C04B7">
        <w:t xml:space="preserve">informed consent </w:t>
      </w:r>
    </w:p>
    <w:p w:rsidR="00000000" w:rsidRPr="004C04B7" w:rsidP="004C04B7">
      <w:pPr>
        <w:pStyle w:val="ListBullet2"/>
      </w:pPr>
      <w:r w:rsidRPr="004C04B7">
        <w:t>privacy, confidentiality and disclosure</w:t>
      </w:r>
    </w:p>
    <w:p w:rsidR="00000000" w:rsidRPr="004C04B7" w:rsidP="004C04B7">
      <w:pPr>
        <w:pStyle w:val="ListBullet2"/>
      </w:pPr>
      <w:r w:rsidRPr="004C04B7">
        <w:t xml:space="preserve">records management </w:t>
      </w:r>
    </w:p>
    <w:p w:rsidR="00000000" w:rsidRPr="004C04B7" w:rsidP="004C04B7">
      <w:pPr>
        <w:pStyle w:val="ListBullet2"/>
      </w:pPr>
      <w:r w:rsidRPr="004C04B7">
        <w:t>rights and responsibilities of workers, employers and clients</w:t>
      </w:r>
    </w:p>
    <w:p w:rsidR="00000000" w:rsidRPr="004C04B7" w:rsidP="004C04B7">
      <w:pPr>
        <w:pStyle w:val="ListBullet2"/>
      </w:pPr>
      <w:r w:rsidRPr="004C04B7">
        <w:t>specific legislation:</w:t>
      </w:r>
    </w:p>
    <w:p w:rsidR="00000000" w:rsidRPr="004C04B7" w:rsidP="004C04B7">
      <w:pPr>
        <w:pStyle w:val="ListBullet3"/>
      </w:pPr>
      <w:r w:rsidRPr="004C04B7">
        <w:t>medicines and their use</w:t>
      </w:r>
    </w:p>
    <w:p w:rsidR="00000000" w:rsidRPr="004C04B7" w:rsidP="004C04B7">
      <w:pPr>
        <w:pStyle w:val="ListBullet3"/>
      </w:pPr>
      <w:r w:rsidRPr="004C04B7">
        <w:t>the practice of pharmacy</w:t>
      </w:r>
    </w:p>
    <w:p w:rsidR="00000000" w:rsidRPr="004C04B7" w:rsidP="004C04B7">
      <w:pPr>
        <w:pStyle w:val="ListBullet3"/>
      </w:pPr>
      <w:r w:rsidRPr="004C04B7">
        <w:t>different schedules of medicines and pharmaceutical products</w:t>
      </w:r>
    </w:p>
    <w:p w:rsidR="00000000" w:rsidRPr="004C04B7" w:rsidP="004C04B7">
      <w:pPr>
        <w:pStyle w:val="ListBullet2"/>
      </w:pPr>
      <w:r w:rsidRPr="004C04B7">
        <w:t>work role boundaries – responsibilities and limitations</w:t>
      </w:r>
    </w:p>
    <w:p w:rsidR="00000000" w:rsidRPr="004C04B7" w:rsidP="004C04B7">
      <w:pPr>
        <w:pStyle w:val="ListBullet2"/>
      </w:pPr>
      <w:r w:rsidRPr="004C04B7">
        <w:t>work health and safety</w:t>
      </w:r>
    </w:p>
    <w:p w:rsidR="00000000" w:rsidRPr="004C04B7" w:rsidP="004C04B7">
      <w:pPr>
        <w:pStyle w:val="ListBullet"/>
      </w:pPr>
      <w:r w:rsidRPr="004C04B7">
        <w:t>key information in standard pharmaceutical references and their use:</w:t>
      </w:r>
    </w:p>
    <w:p w:rsidR="00000000" w:rsidRPr="004C04B7" w:rsidP="004C04B7">
      <w:pPr>
        <w:pStyle w:val="ListBullet2"/>
      </w:pPr>
      <w:r w:rsidRPr="004C04B7">
        <w:rPr>
          <w:rStyle w:val="Emphasis"/>
        </w:rPr>
        <w:t>Australian pharmaceutical formulary and handbook</w:t>
      </w:r>
      <w:r w:rsidRPr="004C04B7">
        <w:t xml:space="preserve"> (APF)</w:t>
      </w:r>
    </w:p>
    <w:p w:rsidR="00000000" w:rsidRPr="004C04B7" w:rsidP="004C04B7">
      <w:pPr>
        <w:pStyle w:val="ListBullet2"/>
      </w:pPr>
      <w:r w:rsidRPr="004C04B7">
        <w:t>MIMs</w:t>
      </w:r>
    </w:p>
    <w:p w:rsidR="00000000" w:rsidRPr="004C04B7" w:rsidP="004C04B7">
      <w:pPr>
        <w:pStyle w:val="ListBullet2"/>
      </w:pPr>
      <w:r w:rsidRPr="004C04B7">
        <w:rPr>
          <w:rStyle w:val="Emphasis"/>
        </w:rPr>
        <w:t>Australian medicines handbook</w:t>
      </w:r>
      <w:r w:rsidRPr="004C04B7">
        <w:t xml:space="preserve"> (AMH) </w:t>
      </w:r>
    </w:p>
    <w:p w:rsidR="00000000" w:rsidRPr="004C04B7" w:rsidP="004C04B7">
      <w:pPr>
        <w:pStyle w:val="ListBullet2"/>
      </w:pPr>
      <w:r w:rsidRPr="004C04B7">
        <w:t>Micromedex</w:t>
      </w:r>
    </w:p>
    <w:p w:rsidR="00000000" w:rsidRPr="004C04B7" w:rsidP="004C04B7">
      <w:pPr>
        <w:pStyle w:val="ListBullet"/>
      </w:pPr>
      <w:r w:rsidRPr="004C04B7">
        <w:t xml:space="preserve">the role of, and how to utilise pharmacists with specific responsibilities: </w:t>
      </w:r>
    </w:p>
    <w:p w:rsidR="00000000" w:rsidRPr="004C04B7" w:rsidP="004C04B7">
      <w:pPr>
        <w:pStyle w:val="ListBullet2"/>
      </w:pPr>
      <w:r w:rsidRPr="004C04B7">
        <w:t>medicines information</w:t>
      </w:r>
    </w:p>
    <w:p w:rsidR="00000000" w:rsidRPr="004C04B7" w:rsidP="004C04B7">
      <w:pPr>
        <w:pStyle w:val="ListBullet2"/>
      </w:pPr>
      <w:r w:rsidRPr="004C04B7">
        <w:t xml:space="preserve">quality use of medicines </w:t>
      </w:r>
    </w:p>
    <w:p w:rsidR="00000000" w:rsidRPr="004C04B7" w:rsidP="004C04B7">
      <w:pPr>
        <w:pStyle w:val="ListBullet2"/>
      </w:pPr>
      <w:r w:rsidRPr="004C04B7">
        <w:t>drug utilisation eval</w:t>
      </w:r>
      <w:r w:rsidRPr="004C04B7">
        <w:t xml:space="preserve">uation </w:t>
      </w:r>
    </w:p>
    <w:p w:rsidR="00000000" w:rsidRPr="004C04B7" w:rsidP="004C04B7">
      <w:pPr>
        <w:pStyle w:val="ListBullet2"/>
      </w:pPr>
      <w:r w:rsidRPr="004C04B7">
        <w:t>clinical trials and clinical pharmacists</w:t>
      </w:r>
    </w:p>
    <w:p w:rsidR="00000000" w:rsidRPr="004C04B7" w:rsidP="004C04B7">
      <w:pPr>
        <w:pStyle w:val="ListBullet2"/>
      </w:pPr>
      <w:r w:rsidRPr="004C04B7">
        <w:t>pharmacy managers</w:t>
      </w:r>
    </w:p>
    <w:p w:rsidR="00000000" w:rsidRPr="004C04B7" w:rsidP="004C04B7">
      <w:pPr>
        <w:pStyle w:val="ListBullet"/>
      </w:pPr>
      <w:r w:rsidRPr="004C04B7">
        <w:t>order of referencing in presentation of information i.e. primary, secondary, tertiary references</w:t>
      </w:r>
    </w:p>
    <w:p w:rsidR="00000000" w:rsidRPr="004C04B7" w:rsidP="004C04B7">
      <w:pPr>
        <w:pStyle w:val="ListBullet"/>
      </w:pPr>
      <w:r w:rsidRPr="004C04B7">
        <w:t>concept of drug utilisation evaluation and the data recorded</w:t>
      </w:r>
    </w:p>
    <w:p w:rsidR="00000000" w:rsidRPr="004C04B7" w:rsidP="004C04B7">
      <w:pPr>
        <w:pStyle w:val="ListBullet"/>
      </w:pPr>
      <w:r w:rsidRPr="004C04B7">
        <w:t>concept of key performance ind</w:t>
      </w:r>
      <w:r w:rsidRPr="004C04B7">
        <w:t>icators and data reported</w:t>
      </w:r>
    </w:p>
    <w:p w:rsidR="00000000" w:rsidRPr="004C04B7" w:rsidP="004C04B7">
      <w:pPr>
        <w:pStyle w:val="ListBullet"/>
      </w:pPr>
      <w:r w:rsidRPr="004C04B7">
        <w:t>pharmacy or health facility management systems and procedures related to the collection and presentation of workplace data and information</w:t>
      </w:r>
    </w:p>
    <w:p w:rsidR="00000000" w:rsidRPr="004C04B7" w:rsidP="004C04B7">
      <w:pPr>
        <w:pStyle w:val="ListBullet"/>
      </w:pPr>
      <w:r w:rsidRPr="004C04B7">
        <w:t>types of data and information collected and presented in the pharmacy context:</w:t>
      </w:r>
    </w:p>
    <w:p w:rsidR="00000000" w:rsidRPr="004C04B7" w:rsidP="004C04B7">
      <w:pPr>
        <w:pStyle w:val="ListBullet2"/>
      </w:pPr>
      <w:r w:rsidRPr="004C04B7">
        <w:t>adverse drug reactions (ADR) and other medication incidents:</w:t>
      </w:r>
    </w:p>
    <w:p w:rsidR="00000000" w:rsidRPr="004C04B7" w:rsidP="004C04B7">
      <w:pPr>
        <w:pStyle w:val="ListBullet3"/>
      </w:pPr>
      <w:r w:rsidRPr="004C04B7">
        <w:t>data required for reporting</w:t>
      </w:r>
    </w:p>
    <w:p w:rsidR="00000000" w:rsidRPr="004C04B7" w:rsidP="004C04B7">
      <w:pPr>
        <w:pStyle w:val="ListBullet3"/>
      </w:pPr>
      <w:r w:rsidRPr="004C04B7">
        <w:t>meaning of ADR</w:t>
      </w:r>
    </w:p>
    <w:p w:rsidR="00000000" w:rsidRPr="004C04B7" w:rsidP="004C04B7">
      <w:pPr>
        <w:pStyle w:val="ListBullet3"/>
      </w:pPr>
      <w:r w:rsidRPr="004C04B7">
        <w:t>process for reporting</w:t>
      </w:r>
    </w:p>
    <w:p w:rsidR="00000000" w:rsidRPr="004C04B7" w:rsidP="004C04B7">
      <w:pPr>
        <w:pStyle w:val="ListBullet3"/>
      </w:pPr>
      <w:r w:rsidRPr="004C04B7">
        <w:t>purpose of reporting</w:t>
      </w:r>
    </w:p>
    <w:p w:rsidR="00000000" w:rsidRPr="004C04B7" w:rsidP="004C04B7">
      <w:pPr>
        <w:pStyle w:val="ListBullet2"/>
      </w:pPr>
      <w:r w:rsidRPr="004C04B7">
        <w:t>biochemical, haematological and microbiology tests:</w:t>
      </w:r>
    </w:p>
    <w:p w:rsidR="00000000" w:rsidRPr="004C04B7" w:rsidP="004C04B7">
      <w:pPr>
        <w:pStyle w:val="ListBullet3"/>
      </w:pPr>
      <w:r w:rsidRPr="004C04B7">
        <w:t>purpose of tests</w:t>
      </w:r>
    </w:p>
    <w:p w:rsidR="00000000" w:rsidRPr="004C04B7" w:rsidP="004C04B7">
      <w:pPr>
        <w:pStyle w:val="ListBullet3"/>
      </w:pPr>
      <w:r w:rsidRPr="004C04B7">
        <w:t>understanding, of the abbre</w:t>
      </w:r>
      <w:r w:rsidRPr="004C04B7">
        <w:t>viations used</w:t>
      </w:r>
    </w:p>
    <w:p w:rsidR="00000000" w:rsidRPr="004C04B7" w:rsidP="004C04B7">
      <w:pPr>
        <w:pStyle w:val="ListBullet3"/>
      </w:pPr>
      <w:r w:rsidRPr="004C04B7">
        <w:t>understanding of the concept of reference range</w:t>
      </w:r>
    </w:p>
    <w:p w:rsidR="00000000" w:rsidRPr="004C04B7" w:rsidP="004C04B7">
      <w:pPr>
        <w:pStyle w:val="ListBullet2"/>
      </w:pPr>
      <w:r w:rsidRPr="004C04B7">
        <w:t>clinical trials:</w:t>
      </w:r>
    </w:p>
    <w:p w:rsidR="00000000" w:rsidRPr="004C04B7" w:rsidP="004C04B7">
      <w:pPr>
        <w:pStyle w:val="ListBullet3"/>
      </w:pPr>
      <w:r w:rsidRPr="004C04B7">
        <w:t>purpose of collection of information and the data required</w:t>
      </w:r>
    </w:p>
    <w:p w:rsidR="00000000" w:rsidRPr="004C04B7" w:rsidP="004C04B7">
      <w:pPr>
        <w:pStyle w:val="ListBullet3"/>
      </w:pPr>
      <w:r w:rsidRPr="004C04B7">
        <w:t>understanding of the importance of maintaining confidentiality/blinding</w:t>
      </w:r>
    </w:p>
    <w:p w:rsidR="00000000" w:rsidRPr="004C04B7" w:rsidP="004C04B7">
      <w:pPr>
        <w:pStyle w:val="ListBullet2"/>
      </w:pPr>
      <w:r w:rsidRPr="004C04B7">
        <w:t>meaning and purpose of medication reconcili</w:t>
      </w:r>
      <w:r w:rsidRPr="004C04B7">
        <w:t>ation and the potential sources of data used to identify a client’s medication history and medication list</w:t>
      </w:r>
    </w:p>
    <w:p w:rsidR="00000000" w:rsidRPr="004C04B7" w:rsidP="004C04B7">
      <w:pPr>
        <w:pStyle w:val="ListBullet"/>
      </w:pPr>
      <w:r w:rsidRPr="004C04B7">
        <w:t>therapeutic drug monitoring:</w:t>
      </w:r>
    </w:p>
    <w:p w:rsidR="00000000" w:rsidRPr="004C04B7" w:rsidP="004C04B7">
      <w:pPr>
        <w:pStyle w:val="ListBullet2"/>
      </w:pPr>
      <w:r w:rsidRPr="004C04B7">
        <w:t>medicines that require monitoring</w:t>
      </w:r>
    </w:p>
    <w:p w:rsidR="00000000" w:rsidRPr="004C04B7" w:rsidP="004C04B7">
      <w:pPr>
        <w:pStyle w:val="ListBullet2"/>
      </w:pPr>
      <w:r w:rsidRPr="004C04B7">
        <w:t>purpose of monitoring</w:t>
      </w:r>
    </w:p>
    <w:p w:rsidR="00000000" w:rsidRPr="004C04B7" w:rsidP="004C04B7">
      <w:pPr>
        <w:pStyle w:val="ListBullet2"/>
      </w:pPr>
      <w:r w:rsidRPr="004C04B7">
        <w:t>understanding of the concept of therapeutic range</w:t>
      </w:r>
    </w:p>
    <w:p w:rsidR="00000000" w:rsidRPr="004C04B7" w:rsidP="004C04B7">
      <w:pPr>
        <w:pStyle w:val="ListBullet"/>
      </w:pPr>
      <w:r w:rsidRPr="004C04B7">
        <w:t>client data interrogation and presentation:</w:t>
      </w:r>
    </w:p>
    <w:p w:rsidR="00000000" w:rsidRPr="004C04B7" w:rsidP="004C04B7">
      <w:pPr>
        <w:pStyle w:val="ListBullet2"/>
      </w:pPr>
      <w:r w:rsidRPr="004C04B7">
        <w:t xml:space="preserve">client unit record number </w:t>
      </w:r>
    </w:p>
    <w:p w:rsidR="00000000" w:rsidRPr="004C04B7" w:rsidP="004C04B7">
      <w:pPr>
        <w:pStyle w:val="ListBullet2"/>
      </w:pPr>
      <w:r w:rsidRPr="004C04B7">
        <w:t>how to ensure client data retrieved is for the correct client</w:t>
      </w:r>
    </w:p>
    <w:p w:rsidR="00000000" w:rsidRPr="004C04B7" w:rsidP="004C04B7">
      <w:pPr>
        <w:pStyle w:val="ListBullet2"/>
      </w:pPr>
      <w:r w:rsidRPr="004C04B7">
        <w:t>concept of key performance indicators and data reported</w:t>
      </w:r>
    </w:p>
    <w:p w:rsidR="00000000" w:rsidRPr="004C04B7" w:rsidP="004C04B7">
      <w:pPr>
        <w:pStyle w:val="ListBullet2"/>
      </w:pPr>
      <w:r w:rsidRPr="004C04B7">
        <w:t>how to identify and access client data</w:t>
      </w:r>
    </w:p>
    <w:p w:rsidR="00000000" w:rsidRPr="004C04B7" w:rsidP="004C04B7">
      <w:pPr>
        <w:pStyle w:val="ListBullet2"/>
      </w:pPr>
      <w:r w:rsidRPr="004C04B7">
        <w:t>concept of reference range</w:t>
      </w:r>
    </w:p>
    <w:p w:rsidR="00000000" w:rsidRPr="004C04B7" w:rsidP="004C04B7">
      <w:pPr>
        <w:pStyle w:val="ListBullet"/>
      </w:pPr>
      <w:r w:rsidRPr="004C04B7">
        <w:t>different medicine groups and their roles, including:</w:t>
      </w:r>
    </w:p>
    <w:p w:rsidR="00000000" w:rsidRPr="004C04B7" w:rsidP="004C04B7">
      <w:pPr>
        <w:pStyle w:val="ListBullet2"/>
      </w:pPr>
      <w:r w:rsidRPr="004C04B7">
        <w:t>analgesics and anti-inflammatory agents</w:t>
      </w:r>
    </w:p>
    <w:p w:rsidR="00000000" w:rsidRPr="004C04B7" w:rsidP="004C04B7">
      <w:pPr>
        <w:pStyle w:val="ListBullet2"/>
      </w:pPr>
      <w:r w:rsidRPr="004C04B7">
        <w:t>anti-coagulants</w:t>
      </w:r>
    </w:p>
    <w:p w:rsidR="00000000" w:rsidRPr="004C04B7" w:rsidP="004C04B7">
      <w:pPr>
        <w:pStyle w:val="ListBullet2"/>
      </w:pPr>
      <w:r w:rsidRPr="004C04B7">
        <w:t>anti-depressants</w:t>
      </w:r>
    </w:p>
    <w:p w:rsidR="00000000" w:rsidRPr="004C04B7" w:rsidP="004C04B7">
      <w:pPr>
        <w:pStyle w:val="ListBullet2"/>
      </w:pPr>
      <w:r w:rsidRPr="004C04B7">
        <w:t>anti-diabetic agents</w:t>
      </w:r>
    </w:p>
    <w:p w:rsidR="00000000" w:rsidRPr="004C04B7" w:rsidP="004C04B7">
      <w:pPr>
        <w:pStyle w:val="ListBullet2"/>
      </w:pPr>
      <w:r w:rsidRPr="004C04B7">
        <w:t>anti-epileptics</w:t>
      </w:r>
    </w:p>
    <w:p w:rsidR="00000000" w:rsidRPr="004C04B7" w:rsidP="004C04B7">
      <w:pPr>
        <w:pStyle w:val="ListBullet2"/>
      </w:pPr>
      <w:r w:rsidRPr="004C04B7">
        <w:t>anti-gout agents</w:t>
      </w:r>
    </w:p>
    <w:p w:rsidR="00000000" w:rsidRPr="004C04B7" w:rsidP="004C04B7">
      <w:pPr>
        <w:pStyle w:val="ListBullet2"/>
      </w:pPr>
      <w:r w:rsidRPr="004C04B7">
        <w:t>anti-histamines</w:t>
      </w:r>
    </w:p>
    <w:p w:rsidR="00000000" w:rsidRPr="004C04B7" w:rsidP="004C04B7">
      <w:pPr>
        <w:pStyle w:val="ListBullet2"/>
      </w:pPr>
      <w:r w:rsidRPr="004C04B7">
        <w:t>anti-hypertensives</w:t>
      </w:r>
    </w:p>
    <w:p w:rsidR="00000000" w:rsidRPr="004C04B7" w:rsidP="004C04B7">
      <w:pPr>
        <w:pStyle w:val="ListBullet2"/>
      </w:pPr>
      <w:r w:rsidRPr="004C04B7">
        <w:t>anxiolytics and hypnotics</w:t>
      </w:r>
    </w:p>
    <w:p w:rsidR="00000000" w:rsidRPr="004C04B7" w:rsidP="004C04B7">
      <w:pPr>
        <w:pStyle w:val="ListBullet2"/>
      </w:pPr>
      <w:r w:rsidRPr="004C04B7">
        <w:t>asthma treating agents</w:t>
      </w:r>
    </w:p>
    <w:p w:rsidR="00000000" w:rsidRPr="004C04B7" w:rsidP="004C04B7">
      <w:pPr>
        <w:pStyle w:val="ListBullet2"/>
      </w:pPr>
      <w:r w:rsidRPr="004C04B7">
        <w:t>cholesterol and lip lowering agents</w:t>
      </w:r>
    </w:p>
    <w:p w:rsidR="00000000" w:rsidRPr="004C04B7" w:rsidP="004C04B7">
      <w:pPr>
        <w:pStyle w:val="ListBullet2"/>
      </w:pPr>
      <w:r w:rsidRPr="004C04B7">
        <w:t>corticosteroids</w:t>
      </w:r>
    </w:p>
    <w:p w:rsidR="00000000" w:rsidRPr="004C04B7" w:rsidP="004C04B7">
      <w:pPr>
        <w:pStyle w:val="ListBullet2"/>
      </w:pPr>
      <w:r w:rsidRPr="004C04B7">
        <w:t>diuretics</w:t>
      </w:r>
    </w:p>
    <w:p w:rsidR="00000000" w:rsidRPr="004C04B7" w:rsidP="004C04B7">
      <w:pPr>
        <w:pStyle w:val="ListBullet2"/>
      </w:pPr>
      <w:r w:rsidRPr="004C04B7">
        <w:t>gastro-intestinal agents</w:t>
      </w:r>
    </w:p>
    <w:p w:rsidR="00000000" w:rsidRPr="004C04B7" w:rsidP="004C04B7">
      <w:pPr>
        <w:pStyle w:val="ListBullet2"/>
      </w:pPr>
      <w:r w:rsidRPr="004C04B7">
        <w:t>heart medicines</w:t>
      </w:r>
    </w:p>
    <w:p w:rsidR="00000000" w:rsidRPr="004C04B7" w:rsidP="004C04B7">
      <w:pPr>
        <w:pStyle w:val="ListBullet2"/>
      </w:pPr>
      <w:r w:rsidRPr="004C04B7">
        <w:t>hormonal medicines</w:t>
      </w:r>
    </w:p>
    <w:p w:rsidR="00000000" w:rsidRPr="004C04B7" w:rsidP="004C04B7">
      <w:pPr>
        <w:pStyle w:val="ListBullet2"/>
      </w:pPr>
      <w:r w:rsidRPr="004C04B7">
        <w:t>osteoporosis medicines</w:t>
      </w:r>
    </w:p>
    <w:p w:rsidR="00000000" w:rsidRPr="004C04B7" w:rsidP="004C04B7">
      <w:pPr>
        <w:pStyle w:val="ListBullet2"/>
      </w:pPr>
      <w:r w:rsidRPr="004C04B7">
        <w:t>viral and anti-bacterial agents, anti-fungals or antibiotics</w:t>
      </w:r>
    </w:p>
    <w:p w:rsidR="00000000" w:rsidRPr="004C04B7" w:rsidP="004C04B7">
      <w:pPr>
        <w:pStyle w:val="ListBullet"/>
      </w:pPr>
      <w:r w:rsidRPr="004C04B7">
        <w:t>factors affecting action o</w:t>
      </w:r>
      <w:r w:rsidRPr="004C04B7">
        <w:t>f medicine groups:</w:t>
      </w:r>
    </w:p>
    <w:p w:rsidR="00000000" w:rsidRPr="004C04B7" w:rsidP="004C04B7">
      <w:pPr>
        <w:pStyle w:val="ListBullet2"/>
      </w:pPr>
      <w:r w:rsidRPr="004C04B7">
        <w:t>blood pressure</w:t>
      </w:r>
    </w:p>
    <w:p w:rsidR="00000000" w:rsidRPr="004C04B7" w:rsidP="004C04B7">
      <w:pPr>
        <w:pStyle w:val="ListBullet2"/>
      </w:pPr>
      <w:r w:rsidRPr="004C04B7">
        <w:t>breast feeding</w:t>
      </w:r>
    </w:p>
    <w:p w:rsidR="00000000" w:rsidRPr="004C04B7" w:rsidP="004C04B7">
      <w:pPr>
        <w:pStyle w:val="ListBullet2"/>
      </w:pPr>
      <w:r w:rsidRPr="004C04B7">
        <w:t>geriatric</w:t>
      </w:r>
    </w:p>
    <w:p w:rsidR="00000000" w:rsidRPr="004C04B7" w:rsidP="004C04B7">
      <w:pPr>
        <w:pStyle w:val="ListBullet2"/>
      </w:pPr>
      <w:r w:rsidRPr="004C04B7">
        <w:t>hepatic impairment</w:t>
      </w:r>
    </w:p>
    <w:p w:rsidR="00000000" w:rsidRPr="004C04B7" w:rsidP="004C04B7">
      <w:pPr>
        <w:pStyle w:val="ListBullet2"/>
      </w:pPr>
      <w:r w:rsidRPr="004C04B7">
        <w:t>paediatric</w:t>
      </w:r>
    </w:p>
    <w:p w:rsidR="00000000" w:rsidRPr="004C04B7" w:rsidP="004C04B7">
      <w:pPr>
        <w:pStyle w:val="ListBullet2"/>
      </w:pPr>
      <w:r w:rsidRPr="004C04B7">
        <w:t>pregnancy</w:t>
      </w:r>
    </w:p>
    <w:p w:rsidR="00000000" w:rsidRPr="004C04B7" w:rsidP="004C04B7">
      <w:pPr>
        <w:pStyle w:val="ListBullet2"/>
      </w:pPr>
      <w:r w:rsidRPr="004C04B7">
        <w:t>renal impairment</w:t>
      </w:r>
    </w:p>
    <w:p w:rsidR="00000000" w:rsidRPr="004C04B7" w:rsidP="004C04B7">
      <w:pPr>
        <w:pStyle w:val="ListBullet"/>
      </w:pPr>
      <w:r w:rsidRPr="004C04B7">
        <w:t>issues that affect the use of medicine in an individual:</w:t>
      </w:r>
    </w:p>
    <w:p w:rsidR="00000000" w:rsidRPr="004C04B7" w:rsidP="004C04B7">
      <w:pPr>
        <w:pStyle w:val="ListBullet2"/>
      </w:pPr>
      <w:r w:rsidRPr="004C04B7">
        <w:t>bioavailability</w:t>
      </w:r>
    </w:p>
    <w:p w:rsidR="00000000" w:rsidRPr="004C04B7" w:rsidP="004C04B7">
      <w:pPr>
        <w:pStyle w:val="ListBullet2"/>
      </w:pPr>
      <w:r w:rsidRPr="004C04B7">
        <w:t>bioequivalence</w:t>
      </w:r>
    </w:p>
    <w:p w:rsidR="00000000" w:rsidRPr="004C04B7" w:rsidP="004C04B7">
      <w:pPr>
        <w:pStyle w:val="ListBullet2"/>
      </w:pPr>
      <w:r w:rsidRPr="004C04B7">
        <w:t>medicines absorption</w:t>
      </w:r>
    </w:p>
    <w:p w:rsidR="00000000" w:rsidRPr="004C04B7" w:rsidP="004C04B7">
      <w:pPr>
        <w:pStyle w:val="ListBullet2"/>
      </w:pPr>
      <w:r w:rsidRPr="004C04B7">
        <w:t>medicines distribution</w:t>
      </w:r>
    </w:p>
    <w:p w:rsidR="00000000" w:rsidRPr="004C04B7" w:rsidP="004C04B7">
      <w:pPr>
        <w:pStyle w:val="ListBullet2"/>
      </w:pPr>
      <w:r w:rsidRPr="004C04B7">
        <w:t>medicines elimination</w:t>
      </w:r>
    </w:p>
    <w:p w:rsidR="00000000" w:rsidRPr="004C04B7" w:rsidP="004C04B7">
      <w:pPr>
        <w:pStyle w:val="ListBullet2"/>
      </w:pPr>
      <w:r w:rsidRPr="004C04B7">
        <w:t>medicines half-life</w:t>
      </w:r>
    </w:p>
    <w:p w:rsidR="00000000" w:rsidRPr="004C04B7" w:rsidP="004C04B7">
      <w:pPr>
        <w:pStyle w:val="ListBullet2"/>
      </w:pPr>
      <w:r w:rsidRPr="004C04B7">
        <w:t>medicines metabolism</w:t>
      </w:r>
    </w:p>
    <w:p w:rsidR="00000000" w:rsidRPr="004C04B7" w:rsidP="004C04B7">
      <w:pPr>
        <w:pStyle w:val="ListBullet"/>
      </w:pPr>
      <w:r w:rsidRPr="004C04B7">
        <w:t>concept of medicines</w:t>
      </w:r>
    </w:p>
    <w:p w:rsidR="00000000" w:rsidRPr="004C04B7" w:rsidP="004C04B7">
      <w:pPr>
        <w:pStyle w:val="ListBullet2"/>
      </w:pPr>
      <w:r w:rsidRPr="004C04B7">
        <w:t>medicines interactions</w:t>
      </w:r>
    </w:p>
    <w:p w:rsidR="00000000" w:rsidRPr="004C04B7" w:rsidP="004C04B7">
      <w:pPr>
        <w:pStyle w:val="ListBullet2"/>
      </w:pPr>
      <w:r w:rsidRPr="004C04B7">
        <w:t>medicines food interactions and incompatibilities</w:t>
      </w:r>
    </w:p>
    <w:p w:rsidR="00000000" w:rsidRPr="004C04B7" w:rsidP="004C04B7">
      <w:pPr>
        <w:pStyle w:val="AllowPageBreak"/>
      </w:pPr>
    </w:p>
    <w:p w:rsidR="00000000" w:rsidRPr="004C04B7" w:rsidP="004C04B7">
      <w:pPr>
        <w:pStyle w:val="Heading1"/>
      </w:pPr>
      <w:bookmarkStart w:id="10" w:name="O_657302"/>
      <w:bookmarkEnd w:id="10"/>
      <w:r w:rsidRPr="004C04B7">
        <w:t>Assessment Conditions</w:t>
      </w:r>
    </w:p>
    <w:p w:rsidR="00000000" w:rsidRPr="004C04B7" w:rsidP="001B7FA3">
      <w:pPr>
        <w:pStyle w:val="BodyText"/>
      </w:pPr>
      <w:r w:rsidRPr="004C04B7">
        <w:t xml:space="preserve">Skills must have been demonstrated in the workplace or in a simulated environment that reflects workplace conditions. The following conditions must be met for this unit: </w:t>
      </w:r>
    </w:p>
    <w:p w:rsidR="00000000" w:rsidRPr="004C04B7" w:rsidP="004C04B7">
      <w:pPr>
        <w:pStyle w:val="ListBullet"/>
      </w:pPr>
      <w:r w:rsidRPr="004C04B7">
        <w:t xml:space="preserve">use of suitable facilities, equipment and resources, including: </w:t>
      </w:r>
    </w:p>
    <w:p w:rsidR="00000000" w:rsidRPr="004C04B7" w:rsidP="004C04B7">
      <w:pPr>
        <w:pStyle w:val="ListBullet2"/>
      </w:pPr>
      <w:r w:rsidRPr="004C04B7">
        <w:t>computerised pharm</w:t>
      </w:r>
      <w:r w:rsidRPr="004C04B7">
        <w:t>acy administration system that allows Pharmaceutical Benefits Scheme (PBS) dispensing and online claiming</w:t>
      </w:r>
    </w:p>
    <w:p w:rsidR="00000000" w:rsidRPr="004C04B7" w:rsidP="004C04B7">
      <w:pPr>
        <w:pStyle w:val="ListBullet2"/>
      </w:pPr>
      <w:r w:rsidRPr="004C04B7">
        <w:t xml:space="preserve">computerised access to client information </w:t>
      </w:r>
    </w:p>
    <w:p w:rsidR="00000000" w:rsidRPr="004C04B7" w:rsidP="004C04B7">
      <w:pPr>
        <w:pStyle w:val="ListBullet"/>
      </w:pPr>
      <w:r w:rsidRPr="004C04B7">
        <w:t>modelling of industry operating conditions, including time constraints for completing activities</w:t>
      </w:r>
    </w:p>
    <w:p w:rsidR="00000000" w:rsidRPr="004C04B7" w:rsidP="004C04B7">
      <w:pPr>
        <w:pStyle w:val="BodyText"/>
      </w:pPr>
    </w:p>
    <w:p w:rsidR="00000000" w:rsidRPr="004C04B7" w:rsidP="001B7FA3">
      <w:pPr>
        <w:pStyle w:val="BodyText"/>
      </w:pPr>
      <w:r w:rsidRPr="004C04B7">
        <w:t>Assessors must satisfy the Standards for Registered Training Organisations (RTOs) 2015/AQTF mandatory competency requirements for assessors.</w:t>
      </w:r>
    </w:p>
    <w:p w:rsidR="00000000" w:rsidRPr="004C04B7" w:rsidP="004C04B7">
      <w:pPr>
        <w:pStyle w:val="Heading1"/>
      </w:pPr>
      <w:bookmarkStart w:id="11" w:name="O_657305"/>
      <w:bookmarkEnd w:id="11"/>
      <w:r w:rsidRPr="004C04B7">
        <w:t>Links</w:t>
      </w:r>
    </w:p>
    <w:p w:rsidR="00000000" w:rsidRPr="004C04B7" w:rsidP="001B7FA3">
      <w:pPr>
        <w:pStyle w:val="BodyText"/>
      </w:pPr>
      <w:r w:rsidRPr="004C04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12C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C04B7" w:rsidP="004C04B7"/>
    <w:sectPr w:rsidSect="004C04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 w:rsidRPr="001B7FA3" w:rsidP="001B7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A3" w:rsidP="004C0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7FA3" w:rsidP="004C0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B7FA3" w:rsidP="004C04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 w:rsidP="004C0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FA3">
      <w:t>Approved</w:t>
    </w:r>
    <w:r w:rsidR="001B7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F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FA3">
      <w:rPr>
        <w:noProof/>
      </w:rPr>
      <w:t>5</w:t>
    </w:r>
    <w:r>
      <w:rPr>
        <w:noProof/>
      </w:rPr>
      <w:fldChar w:fldCharType="end"/>
    </w:r>
  </w:p>
  <w:p w:rsidR="004C04B7" w:rsidP="004C0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FA3">
      <w:t>HumanAbility</w:t>
    </w:r>
    <w:r w:rsidR="001B7FA3">
      <w:fldChar w:fldCharType="end"/>
    </w:r>
  </w:p>
  <w:p w:rsidR="004C04B7" w:rsidP="004C0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4B7" w:rsidRPr="001B7FA3" w:rsidP="001B7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A3" w:rsidRPr="002D2AF8" w:rsidP="004C0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HLTPHA009 Support pharmacists in the collection and presentation of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FA3" w:rsidP="004C04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B7" w:rsidRPr="002D2AF8" w:rsidP="004C0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FA3">
      <w:t>HLTPHA009 Support pharmacists in the collection and presentation of workplace data and information</w:t>
    </w:r>
    <w:r w:rsidR="001B7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FA3">
      <w:rPr>
        <w:noProof/>
      </w:rPr>
      <w:t>2 March 2025</w:t>
    </w:r>
    <w:r>
      <w:fldChar w:fldCharType="end"/>
    </w:r>
  </w:p>
  <w:p w:rsidR="004C04B7" w:rsidP="004C0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E0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6C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2F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4B7"/>
  </w:style>
  <w:style w:type="character" w:customStyle="1" w:styleId="Heading1Char">
    <w:name w:val="Heading 1 Char"/>
    <w:basedOn w:val="DefaultParagraphFont"/>
    <w:link w:val="Heading1"/>
    <w:rsid w:val="004C0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4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4B7"/>
    <w:rPr>
      <w:b/>
      <w:spacing w:val="0"/>
    </w:rPr>
  </w:style>
  <w:style w:type="paragraph" w:styleId="ListBullet2">
    <w:name w:val="List Bullet 2"/>
    <w:basedOn w:val="List2"/>
    <w:rsid w:val="004C04B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04B7"/>
    <w:rPr>
      <w:i/>
    </w:rPr>
  </w:style>
  <w:style w:type="paragraph" w:customStyle="1" w:styleId="SuperHeading">
    <w:name w:val="SuperHeading"/>
    <w:basedOn w:val="Normal"/>
    <w:rsid w:val="004C0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04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0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4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4B7"/>
  </w:style>
  <w:style w:type="paragraph" w:styleId="TableofFigures">
    <w:name w:val="table of figures"/>
    <w:basedOn w:val="Normal"/>
    <w:next w:val="Normal"/>
    <w:semiHidden/>
    <w:rsid w:val="004C0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4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04B7"/>
    <w:rPr>
      <w:rFonts w:ascii="Wingdings" w:hAnsi="Wingdings"/>
    </w:rPr>
  </w:style>
  <w:style w:type="paragraph" w:customStyle="1" w:styleId="TableHeading">
    <w:name w:val="Table Heading"/>
    <w:basedOn w:val="HeadingBase"/>
    <w:rsid w:val="004C0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4B7"/>
    <w:rPr>
      <w:color w:val="0033CC"/>
      <w:u w:val="none"/>
    </w:rPr>
  </w:style>
  <w:style w:type="paragraph" w:customStyle="1" w:styleId="BodyTextRight">
    <w:name w:val="Body Text Right"/>
    <w:basedOn w:val="BodyText"/>
    <w:rsid w:val="004C0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4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4B7"/>
    <w:rPr>
      <w:sz w:val="32"/>
    </w:rPr>
  </w:style>
  <w:style w:type="paragraph" w:customStyle="1" w:styleId="HeadingProcedure">
    <w:name w:val="Heading Procedure"/>
    <w:basedOn w:val="HeadingBase"/>
    <w:next w:val="Normal"/>
    <w:rsid w:val="004C0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4B7"/>
    <w:pPr>
      <w:spacing w:before="60" w:after="60"/>
    </w:pPr>
  </w:style>
  <w:style w:type="paragraph" w:styleId="ListContinue">
    <w:name w:val="List Continue"/>
    <w:basedOn w:val="List"/>
    <w:rsid w:val="004C04B7"/>
    <w:pPr>
      <w:ind w:firstLine="0"/>
    </w:pPr>
  </w:style>
  <w:style w:type="paragraph" w:customStyle="1" w:styleId="ListNote">
    <w:name w:val="List Note"/>
    <w:basedOn w:val="List"/>
    <w:rsid w:val="004C0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4B7"/>
    <w:rPr>
      <w:rFonts w:ascii="Courier New" w:hAnsi="Courier New"/>
    </w:rPr>
  </w:style>
  <w:style w:type="paragraph" w:customStyle="1" w:styleId="NoteBullet">
    <w:name w:val="Note Bullet"/>
    <w:basedOn w:val="Note"/>
    <w:rsid w:val="004C0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4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0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4B7"/>
    <w:rPr>
      <w:b/>
      <w:smallCaps/>
    </w:rPr>
  </w:style>
  <w:style w:type="paragraph" w:customStyle="1" w:styleId="TableListNumber">
    <w:name w:val="Table List Number"/>
    <w:basedOn w:val="ListNumber"/>
    <w:rsid w:val="004C0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4B7"/>
    <w:pPr>
      <w:numPr>
        <w:numId w:val="10"/>
      </w:numPr>
    </w:pPr>
  </w:style>
  <w:style w:type="paragraph" w:customStyle="1" w:styleId="ListAlpha2">
    <w:name w:val="List Alpha 2"/>
    <w:basedOn w:val="List2"/>
    <w:rsid w:val="004C04B7"/>
    <w:pPr>
      <w:numPr>
        <w:numId w:val="9"/>
      </w:numPr>
    </w:pPr>
  </w:style>
  <w:style w:type="paragraph" w:styleId="List2">
    <w:name w:val="List 2"/>
    <w:basedOn w:val="BodyText"/>
    <w:rsid w:val="004C0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4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04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04B7"/>
    <w:pPr>
      <w:numPr>
        <w:numId w:val="5"/>
      </w:numPr>
    </w:pPr>
  </w:style>
  <w:style w:type="paragraph" w:styleId="ListContinue2">
    <w:name w:val="List Continue 2"/>
    <w:basedOn w:val="List2"/>
    <w:rsid w:val="004C04B7"/>
    <w:pPr>
      <w:ind w:firstLine="0"/>
    </w:pPr>
  </w:style>
  <w:style w:type="paragraph" w:styleId="ListContinue3">
    <w:name w:val="List Continue 3"/>
    <w:basedOn w:val="List3"/>
    <w:rsid w:val="004C04B7"/>
    <w:pPr>
      <w:ind w:left="1021" w:firstLine="0"/>
    </w:pPr>
  </w:style>
  <w:style w:type="paragraph" w:styleId="ListContinue4">
    <w:name w:val="List Continue 4"/>
    <w:basedOn w:val="List4"/>
    <w:rsid w:val="004C04B7"/>
    <w:pPr>
      <w:ind w:firstLine="0"/>
    </w:pPr>
  </w:style>
  <w:style w:type="paragraph" w:styleId="ListContinue5">
    <w:name w:val="List Continue 5"/>
    <w:basedOn w:val="List5"/>
    <w:rsid w:val="004C04B7"/>
    <w:pPr>
      <w:ind w:firstLine="0"/>
    </w:pPr>
  </w:style>
  <w:style w:type="paragraph" w:styleId="ListNumber3">
    <w:name w:val="List Number 3"/>
    <w:basedOn w:val="List3"/>
    <w:rsid w:val="004C04B7"/>
    <w:pPr>
      <w:numPr>
        <w:numId w:val="6"/>
      </w:numPr>
    </w:pPr>
  </w:style>
  <w:style w:type="paragraph" w:styleId="ListNumber4">
    <w:name w:val="List Number 4"/>
    <w:basedOn w:val="List4"/>
    <w:rsid w:val="004C04B7"/>
    <w:pPr>
      <w:numPr>
        <w:numId w:val="7"/>
      </w:numPr>
    </w:pPr>
  </w:style>
  <w:style w:type="paragraph" w:styleId="ListNumber5">
    <w:name w:val="List Number 5"/>
    <w:basedOn w:val="List5"/>
    <w:rsid w:val="004C04B7"/>
    <w:pPr>
      <w:numPr>
        <w:numId w:val="8"/>
      </w:numPr>
    </w:pPr>
  </w:style>
  <w:style w:type="paragraph" w:styleId="BlockText">
    <w:name w:val="Block Text"/>
    <w:basedOn w:val="Normal"/>
    <w:rsid w:val="004C0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4B7"/>
    <w:rPr>
      <w:sz w:val="16"/>
      <w:vertAlign w:val="superscript"/>
    </w:rPr>
  </w:style>
  <w:style w:type="character" w:customStyle="1" w:styleId="Symbols">
    <w:name w:val="Symbols"/>
    <w:basedOn w:val="DefaultParagraphFont"/>
    <w:rsid w:val="004C04B7"/>
    <w:rPr>
      <w:rFonts w:ascii="Symbol" w:hAnsi="Symbol"/>
    </w:rPr>
  </w:style>
  <w:style w:type="character" w:customStyle="1" w:styleId="MenuOptions">
    <w:name w:val="Menu Options"/>
    <w:basedOn w:val="DefaultParagraphFont"/>
    <w:rsid w:val="004C0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4B7"/>
    <w:rPr>
      <w:b/>
    </w:rPr>
  </w:style>
  <w:style w:type="character" w:customStyle="1" w:styleId="Underlined">
    <w:name w:val="Underlined"/>
    <w:basedOn w:val="DefaultParagraphFont"/>
    <w:rsid w:val="004C04B7"/>
    <w:rPr>
      <w:u w:val="single"/>
    </w:rPr>
  </w:style>
  <w:style w:type="paragraph" w:customStyle="1" w:styleId="TableBodyTextRight">
    <w:name w:val="Table Body Text Right"/>
    <w:basedOn w:val="TableBodyText"/>
    <w:rsid w:val="004C0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4B7"/>
    <w:rPr>
      <w:sz w:val="18"/>
    </w:rPr>
  </w:style>
  <w:style w:type="paragraph" w:customStyle="1" w:styleId="BodySmallRight">
    <w:name w:val="Body Small Right"/>
    <w:basedOn w:val="BodyTextRight"/>
    <w:rsid w:val="004C04B7"/>
    <w:rPr>
      <w:sz w:val="18"/>
      <w:szCs w:val="18"/>
    </w:rPr>
  </w:style>
  <w:style w:type="paragraph" w:customStyle="1" w:styleId="MarginEdition">
    <w:name w:val="Margin Edition"/>
    <w:basedOn w:val="MarginNote"/>
    <w:rsid w:val="004C0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4B7"/>
    <w:rPr>
      <w:sz w:val="2"/>
      <w:szCs w:val="2"/>
    </w:rPr>
  </w:style>
  <w:style w:type="character" w:customStyle="1" w:styleId="Small">
    <w:name w:val="Small"/>
    <w:basedOn w:val="DefaultParagraphFont"/>
    <w:rsid w:val="004C04B7"/>
    <w:rPr>
      <w:sz w:val="16"/>
    </w:rPr>
  </w:style>
  <w:style w:type="paragraph" w:customStyle="1" w:styleId="WideTable">
    <w:name w:val="Wide Table"/>
    <w:basedOn w:val="Normal"/>
    <w:rsid w:val="004C0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4B7"/>
  </w:style>
  <w:style w:type="paragraph" w:styleId="Quote">
    <w:name w:val="Quote"/>
    <w:basedOn w:val="Heading1"/>
    <w:link w:val="QuoteChar"/>
    <w:qFormat/>
    <w:rsid w:val="004C0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4B7"/>
    <w:pPr>
      <w:pageBreakBefore/>
    </w:pPr>
  </w:style>
  <w:style w:type="paragraph" w:customStyle="1" w:styleId="Border">
    <w:name w:val="Border"/>
    <w:basedOn w:val="Normal"/>
    <w:qFormat/>
    <w:rsid w:val="004C0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4B7"/>
    <w:rPr>
      <w:u w:val="single"/>
    </w:rPr>
  </w:style>
  <w:style w:type="character" w:customStyle="1" w:styleId="BoldandItalics">
    <w:name w:val="Bold and Italics"/>
    <w:qFormat/>
    <w:rsid w:val="004C04B7"/>
    <w:rPr>
      <w:b/>
      <w:i/>
      <w:u w:val="none"/>
    </w:rPr>
  </w:style>
  <w:style w:type="paragraph" w:styleId="BalloonText">
    <w:name w:val="Balloon Text"/>
    <w:basedOn w:val="Normal"/>
    <w:link w:val="BalloonTextChar"/>
    <w:rsid w:val="004C0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4B7"/>
    <w:pPr>
      <w:spacing w:before="0" w:after="0"/>
    </w:pPr>
  </w:style>
  <w:style w:type="paragraph" w:customStyle="1" w:styleId="BodyTextBold">
    <w:name w:val="Body Text Bold"/>
    <w:basedOn w:val="BodyText"/>
    <w:qFormat/>
    <w:rsid w:val="004C04B7"/>
    <w:rPr>
      <w:b/>
    </w:rPr>
  </w:style>
  <w:style w:type="character" w:styleId="Hyperlink">
    <w:name w:val="Hyperlink"/>
    <w:basedOn w:val="DefaultParagraphFont"/>
    <w:uiPriority w:val="99"/>
    <w:unhideWhenUsed/>
    <w:rsid w:val="001B7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7767</Characters>
  <Application>Microsoft Office Word</Application>
  <DocSecurity>0</DocSecurity>
  <Lines>242</Lines>
  <Paragraphs>182</Paragraphs>
  <ScaleCrop>false</ScaleCrop>
  <Company>Author-it Software Corporation Ltd.</Company>
  <LinksUpToDate>false</LinksUpToDate>
  <CharactersWithSpaces>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HLTPHA009 Support pharmacists in the collection and presentation of workplace data and information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