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5A1" w:rsidP="00A855A1">
      <w:pPr>
        <w:pStyle w:val="Title"/>
      </w:pPr>
      <w:r>
        <w:fldChar w:fldCharType="begin"/>
      </w:r>
      <w:r>
        <w:instrText xml:space="preserve"> TITLE   \* MERGEFORMAT </w:instrText>
      </w:r>
      <w:r>
        <w:fldChar w:fldCharType="separate"/>
      </w:r>
      <w:r>
        <w:t>Assessment Requirements for HLTPHA008 Support pharmacist communication with clients and other health professionals</w:t>
      </w:r>
      <w:r>
        <w:fldChar w:fldCharType="end"/>
      </w:r>
    </w:p>
    <w:p w:rsidR="00A855A1" w:rsidP="00A855A1">
      <w:pPr>
        <w:pStyle w:val="Version"/>
        <w:sectPr w:rsidSect="001A2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A7C" w:rsidP="001A2A7C">
      <w:pPr>
        <w:pStyle w:val="SuperHeading"/>
      </w:pPr>
      <w:r w:rsidRPr="001A2A7C">
        <w:t>Assessment Requirements for HLTPHA008 Support pharmacist communication with clients and other health professionals</w:t>
      </w:r>
    </w:p>
    <w:p w:rsidR="00000000" w:rsidRPr="001A2A7C" w:rsidP="001A2A7C">
      <w:pPr>
        <w:pStyle w:val="Heading1"/>
      </w:pPr>
      <w:bookmarkStart w:id="1" w:name="O_657280"/>
      <w:bookmarkEnd w:id="1"/>
      <w:r w:rsidRPr="001A2A7C">
        <w:t>Modification History</w:t>
      </w:r>
    </w:p>
    <w:tbl>
      <w:tblPr>
        <w:tblW w:w="0" w:type="auto"/>
        <w:tblLayout w:type="fixed"/>
        <w:tblCellMar>
          <w:left w:w="62" w:type="dxa"/>
          <w:right w:w="62" w:type="dxa"/>
        </w:tblCellMar>
        <w:tblLook w:val="0000"/>
      </w:tblPr>
      <w:tblGrid>
        <w:gridCol w:w="2790"/>
        <w:gridCol w:w="6344"/>
      </w:tblGrid>
      <w:tr w:rsidTr="001A2A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7C" w:rsidP="001A2A7C">
            <w:pPr>
              <w:pStyle w:val="BodyText"/>
            </w:pPr>
            <w:r w:rsidRPr="001A2A7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7C">
            <w:pPr>
              <w:pStyle w:val="BodyText"/>
              <w:rPr>
                <w:lang w:val="en-NZ"/>
              </w:rPr>
            </w:pPr>
            <w:r w:rsidRPr="001A2A7C">
              <w:rPr>
                <w:rStyle w:val="SpecialBold"/>
              </w:rPr>
              <w:t>Comments</w:t>
            </w:r>
          </w:p>
        </w:tc>
      </w:tr>
      <w:tr w:rsidTr="001A2A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A7C">
            <w:pPr>
              <w:pStyle w:val="BodyText"/>
              <w:rPr>
                <w:lang w:val="en-NZ"/>
              </w:rPr>
            </w:pPr>
            <w:r w:rsidRPr="001A2A7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A7C" w:rsidP="001A2A7C">
            <w:pPr>
              <w:pStyle w:val="BodyText"/>
            </w:pPr>
            <w:r w:rsidRPr="001A2A7C">
              <w:t xml:space="preserve">This version was released in </w:t>
            </w:r>
            <w:r w:rsidRPr="001A2A7C">
              <w:rPr>
                <w:rStyle w:val="Emphasis"/>
              </w:rPr>
              <w:t>HLT Health Training Package release 2.0</w:t>
            </w:r>
            <w:r w:rsidRPr="001A2A7C">
              <w:t xml:space="preserve"> and meets the requirements of the 2012 Standards for Training Packages.</w:t>
            </w:r>
          </w:p>
          <w:p w:rsidR="00000000" w:rsidRPr="001A2A7C" w:rsidP="001A2A7C">
            <w:pPr>
              <w:pStyle w:val="BodyText"/>
            </w:pPr>
            <w:r w:rsidRPr="001A2A7C">
              <w:t>Minimal changes to the elements and performance criteria. New evidence requirements for assessment, including volume and frequency. Significant changes to knowledge evidence.</w:t>
            </w:r>
          </w:p>
        </w:tc>
      </w:tr>
    </w:tbl>
    <w:p w:rsidR="00A855A1" w:rsidP="001A2A7C">
      <w:pPr>
        <w:pStyle w:val="BodyText"/>
      </w:pPr>
    </w:p>
    <w:p w:rsidR="00A855A1" w:rsidP="001A2A7C">
      <w:pPr>
        <w:pStyle w:val="BodyText"/>
      </w:pPr>
    </w:p>
    <w:p w:rsidR="00000000" w:rsidRPr="001A2A7C" w:rsidP="001A2A7C">
      <w:pPr>
        <w:pStyle w:val="Heading1"/>
      </w:pPr>
      <w:bookmarkStart w:id="2" w:name="O_657281"/>
      <w:bookmarkEnd w:id="2"/>
      <w:r w:rsidRPr="001A2A7C">
        <w:t>Performance Evidence</w:t>
      </w:r>
    </w:p>
    <w:p w:rsidR="00000000" w:rsidRPr="001A2A7C" w:rsidP="00A855A1">
      <w:pPr>
        <w:pStyle w:val="BodyText"/>
      </w:pPr>
      <w:r w:rsidRPr="001A2A7C">
        <w:t>The candidate must show evidence of the ability to complete tasks outlined in elements and performance criteria of this unit, manage tasks and manage contingencies in the context of the job role. There must be evidence that</w:t>
      </w:r>
      <w:r w:rsidRPr="001A2A7C">
        <w:t xml:space="preserve"> the candidate has:</w:t>
      </w:r>
    </w:p>
    <w:p w:rsidR="00000000" w:rsidRPr="001A2A7C" w:rsidP="001A2A7C">
      <w:pPr>
        <w:pStyle w:val="ListBullet"/>
      </w:pPr>
      <w:r w:rsidRPr="001A2A7C">
        <w:t>complied with legislative and professional practice standards in the collection and provision of a medicines list for at least 10 clients, using effective communication techniques to elicit and provide information in one-to-one communi</w:t>
      </w:r>
      <w:r w:rsidRPr="001A2A7C">
        <w:t xml:space="preserve">cation, including: </w:t>
      </w:r>
    </w:p>
    <w:p w:rsidR="00000000" w:rsidRPr="001A2A7C" w:rsidP="001A2A7C">
      <w:pPr>
        <w:pStyle w:val="ListBullet2"/>
      </w:pPr>
      <w:r w:rsidRPr="001A2A7C">
        <w:t>listened actively</w:t>
      </w:r>
    </w:p>
    <w:p w:rsidR="00000000" w:rsidRPr="001A2A7C" w:rsidP="001A2A7C">
      <w:pPr>
        <w:pStyle w:val="ListBullet2"/>
      </w:pPr>
      <w:r w:rsidRPr="001A2A7C">
        <w:t>used techniques to establish rapport</w:t>
      </w:r>
    </w:p>
    <w:p w:rsidR="00000000" w:rsidRPr="001A2A7C" w:rsidP="001A2A7C">
      <w:pPr>
        <w:pStyle w:val="ListBullet2"/>
      </w:pPr>
      <w:r w:rsidRPr="001A2A7C">
        <w:t>used techniques to clarify meaning</w:t>
      </w:r>
    </w:p>
    <w:p w:rsidR="00000000" w:rsidRPr="001A2A7C" w:rsidP="001A2A7C">
      <w:pPr>
        <w:pStyle w:val="ListBullet2"/>
      </w:pPr>
      <w:r w:rsidRPr="001A2A7C">
        <w:t>provided clear, concise and correct information both verbally and in writing</w:t>
      </w:r>
    </w:p>
    <w:p w:rsidR="00000000" w:rsidRPr="001A2A7C" w:rsidP="001A2A7C">
      <w:pPr>
        <w:pStyle w:val="ListBullet2"/>
      </w:pPr>
      <w:r w:rsidRPr="001A2A7C">
        <w:t>recognised and addressed issues of concern</w:t>
      </w:r>
    </w:p>
    <w:p w:rsidR="00000000" w:rsidRPr="001A2A7C" w:rsidP="001A2A7C">
      <w:pPr>
        <w:pStyle w:val="ListBullet"/>
      </w:pPr>
      <w:r w:rsidRPr="001A2A7C">
        <w:t xml:space="preserve">identified issues outside scope of practice and referred them to the pharmacist </w:t>
      </w:r>
    </w:p>
    <w:p w:rsidR="00000000" w:rsidRPr="001A2A7C" w:rsidP="001A2A7C">
      <w:pPr>
        <w:pStyle w:val="AllowPageBreak"/>
      </w:pPr>
    </w:p>
    <w:p w:rsidR="00000000" w:rsidRPr="001A2A7C" w:rsidP="001A2A7C">
      <w:pPr>
        <w:pStyle w:val="Heading1"/>
      </w:pPr>
      <w:bookmarkStart w:id="3" w:name="O_657282"/>
      <w:bookmarkEnd w:id="3"/>
      <w:r w:rsidRPr="001A2A7C">
        <w:t>Knowledge Evidence</w:t>
      </w:r>
    </w:p>
    <w:p w:rsidR="00000000" w:rsidRPr="001A2A7C" w:rsidP="00A855A1">
      <w:pPr>
        <w:pStyle w:val="BodyText"/>
      </w:pPr>
      <w:r w:rsidRPr="001A2A7C">
        <w:t>The candidate must be able to demonstrate essential knowledge required to effectively complete tasks outlined in elements and performance c</w:t>
      </w:r>
      <w:r w:rsidRPr="001A2A7C">
        <w:t>riteria of this unit, manage tasks and manage contingencies in the context of the work role. This includes knowledge of:</w:t>
      </w:r>
    </w:p>
    <w:p w:rsidR="00000000" w:rsidRPr="001A2A7C" w:rsidP="001A2A7C">
      <w:pPr>
        <w:pStyle w:val="ListBullet"/>
      </w:pPr>
      <w:r w:rsidRPr="001A2A7C">
        <w:t>legal and ethical requirements (national, state/territory) for pharmacy work, and how these are applied in organisations, including:</w:t>
      </w:r>
    </w:p>
    <w:p w:rsidR="00000000" w:rsidRPr="001A2A7C" w:rsidP="001A2A7C">
      <w:pPr>
        <w:pStyle w:val="ListBullet2"/>
      </w:pPr>
      <w:r w:rsidRPr="001A2A7C">
        <w:t>codes of conduct</w:t>
      </w:r>
    </w:p>
    <w:p w:rsidR="00000000" w:rsidRPr="001A2A7C" w:rsidP="001A2A7C">
      <w:pPr>
        <w:pStyle w:val="ListBullet2"/>
      </w:pPr>
      <w:r w:rsidRPr="001A2A7C">
        <w:t>duty of care (and implications of negligence)</w:t>
      </w:r>
    </w:p>
    <w:p w:rsidR="00000000" w:rsidRPr="001A2A7C" w:rsidP="001A2A7C">
      <w:pPr>
        <w:pStyle w:val="ListBullet2"/>
      </w:pPr>
      <w:r w:rsidRPr="001A2A7C">
        <w:t xml:space="preserve">informed consent </w:t>
      </w:r>
    </w:p>
    <w:p w:rsidR="00000000" w:rsidRPr="001A2A7C" w:rsidP="001A2A7C">
      <w:pPr>
        <w:pStyle w:val="ListBullet2"/>
      </w:pPr>
      <w:r w:rsidRPr="001A2A7C">
        <w:t>privacy, confidentiality and disclosure</w:t>
      </w:r>
    </w:p>
    <w:p w:rsidR="00000000" w:rsidRPr="001A2A7C" w:rsidP="001A2A7C">
      <w:pPr>
        <w:pStyle w:val="ListBullet2"/>
      </w:pPr>
      <w:r w:rsidRPr="001A2A7C">
        <w:t xml:space="preserve">records management </w:t>
      </w:r>
    </w:p>
    <w:p w:rsidR="00000000" w:rsidRPr="001A2A7C" w:rsidP="001A2A7C">
      <w:pPr>
        <w:pStyle w:val="ListBullet2"/>
      </w:pPr>
      <w:r w:rsidRPr="001A2A7C">
        <w:t>rights and responsibilities of workers, employers and clients</w:t>
      </w:r>
    </w:p>
    <w:p w:rsidR="00000000" w:rsidRPr="001A2A7C" w:rsidP="001A2A7C">
      <w:pPr>
        <w:pStyle w:val="ListBullet2"/>
      </w:pPr>
      <w:r w:rsidRPr="001A2A7C">
        <w:t>specific legislation:</w:t>
      </w:r>
    </w:p>
    <w:p w:rsidR="00000000" w:rsidRPr="001A2A7C" w:rsidP="001A2A7C">
      <w:pPr>
        <w:pStyle w:val="ListBullet3"/>
      </w:pPr>
      <w:r w:rsidRPr="001A2A7C">
        <w:t>medicines and their use</w:t>
      </w:r>
    </w:p>
    <w:p w:rsidR="00000000" w:rsidRPr="001A2A7C" w:rsidP="001A2A7C">
      <w:pPr>
        <w:pStyle w:val="ListBullet3"/>
      </w:pPr>
      <w:r w:rsidRPr="001A2A7C">
        <w:t>the practice of pharmacy</w:t>
      </w:r>
    </w:p>
    <w:p w:rsidR="00000000" w:rsidRPr="001A2A7C" w:rsidP="001A2A7C">
      <w:pPr>
        <w:pStyle w:val="ListBullet3"/>
      </w:pPr>
      <w:r w:rsidRPr="001A2A7C">
        <w:t>different schedules of medicines and pharmaceutical products</w:t>
      </w:r>
    </w:p>
    <w:p w:rsidR="00000000" w:rsidRPr="001A2A7C" w:rsidP="001A2A7C">
      <w:pPr>
        <w:pStyle w:val="ListBullet2"/>
      </w:pPr>
      <w:r w:rsidRPr="001A2A7C">
        <w:t>work role boundaries – responsibilities and limitations, including limitations of own work role and type of information able to be provided:</w:t>
      </w:r>
    </w:p>
    <w:p w:rsidR="00000000" w:rsidRPr="001A2A7C" w:rsidP="001A2A7C">
      <w:pPr>
        <w:pStyle w:val="ListBullet3"/>
      </w:pPr>
      <w:r w:rsidRPr="001A2A7C">
        <w:t>CMI</w:t>
      </w:r>
    </w:p>
    <w:p w:rsidR="00000000" w:rsidRPr="001A2A7C" w:rsidP="001A2A7C">
      <w:pPr>
        <w:pStyle w:val="ListBullet3"/>
      </w:pPr>
      <w:r w:rsidRPr="001A2A7C">
        <w:t>confirmation of appoint</w:t>
      </w:r>
      <w:r w:rsidRPr="001A2A7C">
        <w:t>ment date and time</w:t>
      </w:r>
    </w:p>
    <w:p w:rsidR="00000000" w:rsidRPr="001A2A7C" w:rsidP="001A2A7C">
      <w:pPr>
        <w:pStyle w:val="ListBullet3"/>
      </w:pPr>
      <w:r w:rsidRPr="001A2A7C">
        <w:t>information about the use of respiratory devices</w:t>
      </w:r>
    </w:p>
    <w:p w:rsidR="00000000" w:rsidRPr="001A2A7C" w:rsidP="001A2A7C">
      <w:pPr>
        <w:pStyle w:val="ListBullet3"/>
      </w:pPr>
      <w:r w:rsidRPr="001A2A7C">
        <w:t>information about the use of dose administration aids (DAAs)</w:t>
      </w:r>
    </w:p>
    <w:p w:rsidR="00000000" w:rsidRPr="001A2A7C" w:rsidP="001A2A7C">
      <w:pPr>
        <w:pStyle w:val="ListBullet3"/>
      </w:pPr>
      <w:r w:rsidRPr="001A2A7C">
        <w:t>standardised (workplace approved) information for clients</w:t>
      </w:r>
    </w:p>
    <w:p w:rsidR="00000000" w:rsidRPr="001A2A7C" w:rsidP="001A2A7C">
      <w:pPr>
        <w:pStyle w:val="ListBullet2"/>
      </w:pPr>
      <w:r w:rsidRPr="001A2A7C">
        <w:t>work health and safety</w:t>
      </w:r>
    </w:p>
    <w:p w:rsidR="00000000" w:rsidRPr="001A2A7C" w:rsidP="001A2A7C">
      <w:pPr>
        <w:pStyle w:val="ListBullet"/>
      </w:pPr>
      <w:r w:rsidRPr="001A2A7C">
        <w:t>purpose and scope of client education to aid</w:t>
      </w:r>
      <w:r w:rsidRPr="001A2A7C">
        <w:t xml:space="preserve"> compliance with administration of medicines </w:t>
      </w:r>
    </w:p>
    <w:p w:rsidR="00000000" w:rsidRPr="001A2A7C" w:rsidP="001A2A7C">
      <w:pPr>
        <w:pStyle w:val="ListBullet"/>
      </w:pPr>
      <w:r w:rsidRPr="001A2A7C">
        <w:t>procedures for client identification and confirmation of identification</w:t>
      </w:r>
    </w:p>
    <w:p w:rsidR="00000000" w:rsidRPr="001A2A7C" w:rsidP="001A2A7C">
      <w:pPr>
        <w:pStyle w:val="ListBullet"/>
      </w:pPr>
      <w:r w:rsidRPr="001A2A7C">
        <w:t>CMI:</w:t>
      </w:r>
    </w:p>
    <w:p w:rsidR="00000000" w:rsidRPr="001A2A7C" w:rsidP="001A2A7C">
      <w:pPr>
        <w:pStyle w:val="ListBullet2"/>
      </w:pPr>
      <w:r w:rsidRPr="001A2A7C">
        <w:t xml:space="preserve">purpose and layout </w:t>
      </w:r>
    </w:p>
    <w:p w:rsidR="00000000" w:rsidRPr="001A2A7C" w:rsidP="001A2A7C">
      <w:pPr>
        <w:pStyle w:val="ListBullet2"/>
      </w:pPr>
      <w:r w:rsidRPr="001A2A7C">
        <w:t>sources of pharmacy computer system, National Prescribing Services online CMI search</w:t>
      </w:r>
    </w:p>
    <w:p w:rsidR="00000000" w:rsidRPr="001A2A7C" w:rsidP="001A2A7C">
      <w:pPr>
        <w:pStyle w:val="ListBullet"/>
      </w:pPr>
      <w:r w:rsidRPr="001A2A7C">
        <w:t>documentation:</w:t>
      </w:r>
    </w:p>
    <w:p w:rsidR="00000000" w:rsidRPr="001A2A7C" w:rsidP="001A2A7C">
      <w:pPr>
        <w:pStyle w:val="ListBullet2"/>
      </w:pPr>
      <w:r w:rsidRPr="001A2A7C">
        <w:t xml:space="preserve">assessment of client’s ability to manage medications </w:t>
      </w:r>
    </w:p>
    <w:p w:rsidR="00000000" w:rsidRPr="001A2A7C" w:rsidP="001A2A7C">
      <w:pPr>
        <w:pStyle w:val="ListBullet2"/>
      </w:pPr>
      <w:r w:rsidRPr="001A2A7C">
        <w:t>list of medications brought into hospital</w:t>
      </w:r>
    </w:p>
    <w:p w:rsidR="00000000" w:rsidRPr="001A2A7C" w:rsidP="001A2A7C">
      <w:pPr>
        <w:pStyle w:val="ListBullet2"/>
      </w:pPr>
      <w:r w:rsidRPr="001A2A7C">
        <w:t>that CMI or other medication-related information has been issued to client/carer</w:t>
      </w:r>
    </w:p>
    <w:p w:rsidR="00000000" w:rsidRPr="001A2A7C" w:rsidP="001A2A7C">
      <w:pPr>
        <w:pStyle w:val="ListBullet"/>
      </w:pPr>
      <w:r w:rsidRPr="001A2A7C">
        <w:t>purpose and features of DAAs and limitations and problems with these devices</w:t>
      </w:r>
    </w:p>
    <w:p w:rsidR="00000000" w:rsidRPr="001A2A7C" w:rsidP="001A2A7C">
      <w:pPr>
        <w:pStyle w:val="ListBullet"/>
      </w:pPr>
      <w:r w:rsidRPr="001A2A7C">
        <w:t>p</w:t>
      </w:r>
      <w:r w:rsidRPr="001A2A7C">
        <w:t>rinciples of effective communication, including recognition of communication and language difficulties and how to overcome these</w:t>
      </w:r>
    </w:p>
    <w:p w:rsidR="00000000" w:rsidRPr="001A2A7C" w:rsidP="001A2A7C">
      <w:pPr>
        <w:pStyle w:val="ListBullet"/>
      </w:pPr>
      <w:r w:rsidRPr="001A2A7C">
        <w:t>features of current medication lists, purpose and layout</w:t>
      </w:r>
    </w:p>
    <w:p w:rsidR="00000000" w:rsidRPr="001A2A7C" w:rsidP="001A2A7C">
      <w:pPr>
        <w:pStyle w:val="ListBullet"/>
      </w:pPr>
      <w:r w:rsidRPr="001A2A7C">
        <w:t>sources and method of preparation of electronic and hard copy informat</w:t>
      </w:r>
      <w:r w:rsidRPr="001A2A7C">
        <w:t>ion</w:t>
      </w:r>
    </w:p>
    <w:p w:rsidR="00000000" w:rsidRPr="001A2A7C" w:rsidP="001A2A7C">
      <w:pPr>
        <w:pStyle w:val="ListBullet"/>
      </w:pPr>
      <w:r w:rsidRPr="001A2A7C">
        <w:t>purpose of, and methods for, standardised assessment of client’s ability to manage medications</w:t>
      </w:r>
    </w:p>
    <w:p w:rsidR="00000000" w:rsidRPr="001A2A7C" w:rsidP="001A2A7C">
      <w:pPr>
        <w:pStyle w:val="ListBullet"/>
      </w:pPr>
      <w:r w:rsidRPr="001A2A7C">
        <w:t>factors that affect clients’ ability to manage medications, including special needs related to:</w:t>
      </w:r>
    </w:p>
    <w:p w:rsidR="00000000" w:rsidRPr="001A2A7C" w:rsidP="001A2A7C">
      <w:pPr>
        <w:pStyle w:val="ListBullet2"/>
      </w:pPr>
      <w:r w:rsidRPr="001A2A7C">
        <w:t>communication environment and context</w:t>
      </w:r>
    </w:p>
    <w:p w:rsidR="00000000" w:rsidRPr="001A2A7C" w:rsidP="001A2A7C">
      <w:pPr>
        <w:pStyle w:val="ListBullet2"/>
      </w:pPr>
      <w:r w:rsidRPr="001A2A7C">
        <w:t>cognitive ability</w:t>
      </w:r>
    </w:p>
    <w:p w:rsidR="00000000" w:rsidRPr="001A2A7C" w:rsidP="001A2A7C">
      <w:pPr>
        <w:pStyle w:val="ListBullet2"/>
      </w:pPr>
      <w:r w:rsidRPr="001A2A7C">
        <w:t>cultural or language barriers</w:t>
      </w:r>
    </w:p>
    <w:p w:rsidR="00000000" w:rsidRPr="001A2A7C" w:rsidP="001A2A7C">
      <w:pPr>
        <w:pStyle w:val="ListBullet"/>
      </w:pPr>
      <w:r w:rsidRPr="001A2A7C">
        <w:t>respiratory devices:</w:t>
      </w:r>
    </w:p>
    <w:p w:rsidR="00000000" w:rsidRPr="001A2A7C" w:rsidP="001A2A7C">
      <w:pPr>
        <w:pStyle w:val="ListBullet2"/>
      </w:pPr>
      <w:r w:rsidRPr="001A2A7C">
        <w:t>care of respiratory devices</w:t>
      </w:r>
    </w:p>
    <w:p w:rsidR="00000000" w:rsidRPr="001A2A7C" w:rsidP="001A2A7C">
      <w:pPr>
        <w:pStyle w:val="ListBullet2"/>
      </w:pPr>
      <w:r w:rsidRPr="001A2A7C">
        <w:t>demonstration of respiratory devices</w:t>
      </w:r>
    </w:p>
    <w:p w:rsidR="00000000" w:rsidRPr="001A2A7C" w:rsidP="001A2A7C">
      <w:pPr>
        <w:pStyle w:val="ListBullet2"/>
      </w:pPr>
      <w:r w:rsidRPr="001A2A7C">
        <w:t>knowledge, purpose and selection criteria for respiratory devices (including: dry powder inhalers, metered dose inhaler, spacers )</w:t>
      </w:r>
    </w:p>
    <w:p w:rsidR="00000000" w:rsidRPr="001A2A7C" w:rsidP="001A2A7C">
      <w:pPr>
        <w:pStyle w:val="ListBullet"/>
      </w:pPr>
      <w:r w:rsidRPr="001A2A7C">
        <w:t>struct</w:t>
      </w:r>
      <w:r w:rsidRPr="001A2A7C">
        <w:t>ure and functions of the body systems and associated components, including:</w:t>
      </w:r>
    </w:p>
    <w:p w:rsidR="00000000" w:rsidRPr="001A2A7C" w:rsidP="001A2A7C">
      <w:pPr>
        <w:pStyle w:val="ListBullet2"/>
      </w:pPr>
      <w:r w:rsidRPr="001A2A7C">
        <w:t>cardiovascular system</w:t>
      </w:r>
    </w:p>
    <w:p w:rsidR="00000000" w:rsidRPr="001A2A7C" w:rsidP="001A2A7C">
      <w:pPr>
        <w:pStyle w:val="ListBullet2"/>
      </w:pPr>
      <w:r w:rsidRPr="001A2A7C">
        <w:t>cells, tissues and organs</w:t>
      </w:r>
    </w:p>
    <w:p w:rsidR="00000000" w:rsidRPr="001A2A7C" w:rsidP="001A2A7C">
      <w:pPr>
        <w:pStyle w:val="ListBullet2"/>
      </w:pPr>
      <w:r w:rsidRPr="001A2A7C">
        <w:t>digestive system</w:t>
      </w:r>
    </w:p>
    <w:p w:rsidR="00000000" w:rsidRPr="001A2A7C" w:rsidP="001A2A7C">
      <w:pPr>
        <w:pStyle w:val="ListBullet2"/>
      </w:pPr>
      <w:r w:rsidRPr="001A2A7C">
        <w:t>endocrine system</w:t>
      </w:r>
    </w:p>
    <w:p w:rsidR="00000000" w:rsidRPr="001A2A7C" w:rsidP="001A2A7C">
      <w:pPr>
        <w:pStyle w:val="ListBullet2"/>
      </w:pPr>
      <w:r w:rsidRPr="001A2A7C">
        <w:t>integumentary system</w:t>
      </w:r>
    </w:p>
    <w:p w:rsidR="00000000" w:rsidRPr="001A2A7C" w:rsidP="001A2A7C">
      <w:pPr>
        <w:pStyle w:val="ListBullet2"/>
      </w:pPr>
      <w:r w:rsidRPr="001A2A7C">
        <w:t>lymphatic system</w:t>
      </w:r>
    </w:p>
    <w:p w:rsidR="00000000" w:rsidRPr="001A2A7C" w:rsidP="001A2A7C">
      <w:pPr>
        <w:pStyle w:val="ListBullet2"/>
      </w:pPr>
      <w:r w:rsidRPr="001A2A7C">
        <w:t>musculo-skeletal system</w:t>
      </w:r>
    </w:p>
    <w:p w:rsidR="00000000" w:rsidRPr="001A2A7C" w:rsidP="001A2A7C">
      <w:pPr>
        <w:pStyle w:val="ListBullet2"/>
      </w:pPr>
      <w:r w:rsidRPr="001A2A7C">
        <w:t>nervous system</w:t>
      </w:r>
    </w:p>
    <w:p w:rsidR="00000000" w:rsidRPr="001A2A7C" w:rsidP="001A2A7C">
      <w:pPr>
        <w:pStyle w:val="ListBullet2"/>
      </w:pPr>
      <w:r w:rsidRPr="001A2A7C">
        <w:t>reproductive system</w:t>
      </w:r>
    </w:p>
    <w:p w:rsidR="00000000" w:rsidRPr="001A2A7C" w:rsidP="001A2A7C">
      <w:pPr>
        <w:pStyle w:val="ListBullet2"/>
      </w:pPr>
      <w:r w:rsidRPr="001A2A7C">
        <w:t>respiratory system</w:t>
      </w:r>
    </w:p>
    <w:p w:rsidR="00000000" w:rsidRPr="001A2A7C" w:rsidP="001A2A7C">
      <w:pPr>
        <w:pStyle w:val="ListBullet2"/>
      </w:pPr>
      <w:r w:rsidRPr="001A2A7C">
        <w:t>the special senses – smell, taste, vision, equilibrium and hearing</w:t>
      </w:r>
    </w:p>
    <w:p w:rsidR="00000000" w:rsidRPr="001A2A7C" w:rsidP="001A2A7C">
      <w:pPr>
        <w:pStyle w:val="ListBullet2"/>
      </w:pPr>
      <w:r w:rsidRPr="001A2A7C">
        <w:t>urinary system</w:t>
      </w:r>
    </w:p>
    <w:p w:rsidR="00000000" w:rsidRPr="001A2A7C" w:rsidP="001A2A7C">
      <w:pPr>
        <w:pStyle w:val="ListBullet"/>
      </w:pPr>
      <w:r w:rsidRPr="001A2A7C">
        <w:t>purposes of different medicine groups, including:</w:t>
      </w:r>
    </w:p>
    <w:p w:rsidR="00000000" w:rsidRPr="001A2A7C" w:rsidP="001A2A7C">
      <w:pPr>
        <w:pStyle w:val="ListBullet2"/>
      </w:pPr>
      <w:r w:rsidRPr="001A2A7C">
        <w:t>analgesics and anti-inflammatory agents</w:t>
      </w:r>
    </w:p>
    <w:p w:rsidR="00000000" w:rsidRPr="001A2A7C" w:rsidP="001A2A7C">
      <w:pPr>
        <w:pStyle w:val="ListBullet2"/>
      </w:pPr>
      <w:r w:rsidRPr="001A2A7C">
        <w:t>anti-coagulants</w:t>
      </w:r>
    </w:p>
    <w:p w:rsidR="00000000" w:rsidRPr="001A2A7C" w:rsidP="001A2A7C">
      <w:pPr>
        <w:pStyle w:val="ListBullet2"/>
      </w:pPr>
      <w:r w:rsidRPr="001A2A7C">
        <w:t>anti-depressants</w:t>
      </w:r>
    </w:p>
    <w:p w:rsidR="00000000" w:rsidRPr="001A2A7C" w:rsidP="001A2A7C">
      <w:pPr>
        <w:pStyle w:val="ListBullet2"/>
      </w:pPr>
      <w:r w:rsidRPr="001A2A7C">
        <w:t>anti-diabetic agents</w:t>
      </w:r>
    </w:p>
    <w:p w:rsidR="00000000" w:rsidRPr="001A2A7C" w:rsidP="001A2A7C">
      <w:pPr>
        <w:pStyle w:val="ListBullet2"/>
      </w:pPr>
      <w:r w:rsidRPr="001A2A7C">
        <w:t>anti-epil</w:t>
      </w:r>
      <w:r w:rsidRPr="001A2A7C">
        <w:t>eptics</w:t>
      </w:r>
    </w:p>
    <w:p w:rsidR="00000000" w:rsidRPr="001A2A7C" w:rsidP="001A2A7C">
      <w:pPr>
        <w:pStyle w:val="ListBullet2"/>
      </w:pPr>
      <w:r w:rsidRPr="001A2A7C">
        <w:t>anti-gout agents</w:t>
      </w:r>
    </w:p>
    <w:p w:rsidR="00000000" w:rsidRPr="001A2A7C" w:rsidP="001A2A7C">
      <w:pPr>
        <w:pStyle w:val="ListBullet2"/>
      </w:pPr>
      <w:r w:rsidRPr="001A2A7C">
        <w:t>anti-histamines</w:t>
      </w:r>
    </w:p>
    <w:p w:rsidR="00000000" w:rsidRPr="001A2A7C" w:rsidP="001A2A7C">
      <w:pPr>
        <w:pStyle w:val="ListBullet2"/>
      </w:pPr>
      <w:r w:rsidRPr="001A2A7C">
        <w:t>anti-hypertensives</w:t>
      </w:r>
    </w:p>
    <w:p w:rsidR="00000000" w:rsidRPr="001A2A7C" w:rsidP="001A2A7C">
      <w:pPr>
        <w:pStyle w:val="ListBullet2"/>
      </w:pPr>
      <w:r w:rsidRPr="001A2A7C">
        <w:t>anxiolytics and hypnotics</w:t>
      </w:r>
    </w:p>
    <w:p w:rsidR="00000000" w:rsidRPr="001A2A7C" w:rsidP="001A2A7C">
      <w:pPr>
        <w:pStyle w:val="ListBullet2"/>
      </w:pPr>
      <w:r w:rsidRPr="001A2A7C">
        <w:t>asthma treating agents</w:t>
      </w:r>
    </w:p>
    <w:p w:rsidR="00000000" w:rsidRPr="001A2A7C" w:rsidP="001A2A7C">
      <w:pPr>
        <w:pStyle w:val="ListBullet2"/>
      </w:pPr>
      <w:r w:rsidRPr="001A2A7C">
        <w:t>cholesterol and lipid lowering agents</w:t>
      </w:r>
    </w:p>
    <w:p w:rsidR="00000000" w:rsidRPr="001A2A7C" w:rsidP="001A2A7C">
      <w:pPr>
        <w:pStyle w:val="ListBullet2"/>
      </w:pPr>
      <w:r w:rsidRPr="001A2A7C">
        <w:t>corticosteroids</w:t>
      </w:r>
    </w:p>
    <w:p w:rsidR="00000000" w:rsidRPr="001A2A7C" w:rsidP="001A2A7C">
      <w:pPr>
        <w:pStyle w:val="ListBullet2"/>
      </w:pPr>
      <w:r w:rsidRPr="001A2A7C">
        <w:t>cytotoxics</w:t>
      </w:r>
    </w:p>
    <w:p w:rsidR="00000000" w:rsidRPr="001A2A7C" w:rsidP="001A2A7C">
      <w:pPr>
        <w:pStyle w:val="ListBullet2"/>
      </w:pPr>
      <w:r w:rsidRPr="001A2A7C">
        <w:t>diuretics</w:t>
      </w:r>
    </w:p>
    <w:p w:rsidR="00000000" w:rsidRPr="001A2A7C" w:rsidP="001A2A7C">
      <w:pPr>
        <w:pStyle w:val="ListBullet2"/>
      </w:pPr>
      <w:r w:rsidRPr="001A2A7C">
        <w:t>gastro-intestinal agents</w:t>
      </w:r>
    </w:p>
    <w:p w:rsidR="00000000" w:rsidRPr="001A2A7C" w:rsidP="001A2A7C">
      <w:pPr>
        <w:pStyle w:val="ListBullet2"/>
      </w:pPr>
      <w:r w:rsidRPr="001A2A7C">
        <w:t>heart medicines</w:t>
      </w:r>
    </w:p>
    <w:p w:rsidR="00000000" w:rsidRPr="001A2A7C" w:rsidP="001A2A7C">
      <w:pPr>
        <w:pStyle w:val="ListBullet2"/>
      </w:pPr>
      <w:r w:rsidRPr="001A2A7C">
        <w:t>hormonal medicines</w:t>
      </w:r>
    </w:p>
    <w:p w:rsidR="00000000" w:rsidRPr="001A2A7C" w:rsidP="001A2A7C">
      <w:pPr>
        <w:pStyle w:val="ListBullet2"/>
      </w:pPr>
      <w:r w:rsidRPr="001A2A7C">
        <w:t>osteoporosis medicines</w:t>
      </w:r>
    </w:p>
    <w:p w:rsidR="00000000" w:rsidRPr="001A2A7C" w:rsidP="001A2A7C">
      <w:pPr>
        <w:pStyle w:val="ListBullet2"/>
      </w:pPr>
      <w:r w:rsidRPr="001A2A7C">
        <w:t>viral and anti-bacterial agents, anti-fungals or antibiotics</w:t>
      </w:r>
    </w:p>
    <w:p w:rsidR="00000000" w:rsidRPr="001A2A7C" w:rsidP="001A2A7C">
      <w:pPr>
        <w:pStyle w:val="ListBullet"/>
      </w:pPr>
      <w:r w:rsidRPr="001A2A7C">
        <w:t>factors affecting medicine groups:</w:t>
      </w:r>
    </w:p>
    <w:p w:rsidR="00000000" w:rsidRPr="001A2A7C" w:rsidP="001A2A7C">
      <w:pPr>
        <w:pStyle w:val="ListBullet2"/>
      </w:pPr>
      <w:r w:rsidRPr="001A2A7C">
        <w:t>blood pressure</w:t>
      </w:r>
    </w:p>
    <w:p w:rsidR="00000000" w:rsidRPr="001A2A7C" w:rsidP="001A2A7C">
      <w:pPr>
        <w:pStyle w:val="ListBullet2"/>
      </w:pPr>
      <w:r w:rsidRPr="001A2A7C">
        <w:t>breast feeding</w:t>
      </w:r>
    </w:p>
    <w:p w:rsidR="00000000" w:rsidRPr="001A2A7C" w:rsidP="001A2A7C">
      <w:pPr>
        <w:pStyle w:val="ListBullet2"/>
      </w:pPr>
      <w:r w:rsidRPr="001A2A7C">
        <w:t>geriatric</w:t>
      </w:r>
    </w:p>
    <w:p w:rsidR="00000000" w:rsidRPr="001A2A7C" w:rsidP="001A2A7C">
      <w:pPr>
        <w:pStyle w:val="ListBullet2"/>
      </w:pPr>
      <w:r w:rsidRPr="001A2A7C">
        <w:t>paediatric</w:t>
      </w:r>
    </w:p>
    <w:p w:rsidR="00000000" w:rsidRPr="001A2A7C" w:rsidP="001A2A7C">
      <w:pPr>
        <w:pStyle w:val="ListBullet2"/>
      </w:pPr>
      <w:r w:rsidRPr="001A2A7C">
        <w:t>pregnancy</w:t>
      </w:r>
    </w:p>
    <w:p w:rsidR="00000000" w:rsidRPr="001A2A7C" w:rsidP="001A2A7C">
      <w:pPr>
        <w:pStyle w:val="ListBullet"/>
      </w:pPr>
      <w:r w:rsidRPr="001A2A7C">
        <w:t>issues that affect the use of medicine in an individual:</w:t>
      </w:r>
    </w:p>
    <w:p w:rsidR="00000000" w:rsidRPr="001A2A7C" w:rsidP="001A2A7C">
      <w:pPr>
        <w:pStyle w:val="ListBullet2"/>
      </w:pPr>
      <w:r w:rsidRPr="001A2A7C">
        <w:t>bioavailability</w:t>
      </w:r>
    </w:p>
    <w:p w:rsidR="00000000" w:rsidRPr="001A2A7C" w:rsidP="001A2A7C">
      <w:pPr>
        <w:pStyle w:val="ListBullet2"/>
      </w:pPr>
      <w:r w:rsidRPr="001A2A7C">
        <w:t>bioequivalence</w:t>
      </w:r>
    </w:p>
    <w:p w:rsidR="00000000" w:rsidRPr="001A2A7C" w:rsidP="001A2A7C">
      <w:pPr>
        <w:pStyle w:val="ListBullet2"/>
      </w:pPr>
      <w:r w:rsidRPr="001A2A7C">
        <w:t>medicines absorption</w:t>
      </w:r>
    </w:p>
    <w:p w:rsidR="00000000" w:rsidRPr="001A2A7C" w:rsidP="001A2A7C">
      <w:pPr>
        <w:pStyle w:val="ListBullet2"/>
      </w:pPr>
      <w:r w:rsidRPr="001A2A7C">
        <w:t>medicines distribution</w:t>
      </w:r>
    </w:p>
    <w:p w:rsidR="00000000" w:rsidRPr="001A2A7C" w:rsidP="001A2A7C">
      <w:pPr>
        <w:pStyle w:val="ListBullet2"/>
      </w:pPr>
      <w:r w:rsidRPr="001A2A7C">
        <w:t>medicines elimination</w:t>
      </w:r>
    </w:p>
    <w:p w:rsidR="00000000" w:rsidRPr="001A2A7C" w:rsidP="001A2A7C">
      <w:pPr>
        <w:pStyle w:val="ListBullet2"/>
      </w:pPr>
      <w:r w:rsidRPr="001A2A7C">
        <w:t>medicines half-life</w:t>
      </w:r>
    </w:p>
    <w:p w:rsidR="00000000" w:rsidRPr="001A2A7C" w:rsidP="001A2A7C">
      <w:pPr>
        <w:pStyle w:val="ListBullet2"/>
      </w:pPr>
      <w:r w:rsidRPr="001A2A7C">
        <w:t>medicines metabolism</w:t>
      </w:r>
    </w:p>
    <w:p w:rsidR="00000000" w:rsidRPr="001A2A7C" w:rsidP="001A2A7C">
      <w:pPr>
        <w:pStyle w:val="ListBullet"/>
      </w:pPr>
      <w:r w:rsidRPr="001A2A7C">
        <w:t>concept of medicines:</w:t>
      </w:r>
    </w:p>
    <w:p w:rsidR="00000000" w:rsidRPr="001A2A7C" w:rsidP="001A2A7C">
      <w:pPr>
        <w:pStyle w:val="ListBullet2"/>
      </w:pPr>
      <w:r w:rsidRPr="001A2A7C">
        <w:t>medicines interactions</w:t>
      </w:r>
    </w:p>
    <w:p w:rsidR="00000000" w:rsidRPr="001A2A7C" w:rsidP="001A2A7C">
      <w:pPr>
        <w:pStyle w:val="ListBullet2"/>
      </w:pPr>
      <w:r w:rsidRPr="001A2A7C">
        <w:t>medicines food interactions and incompatibilities</w:t>
      </w:r>
    </w:p>
    <w:p w:rsidR="00000000" w:rsidRPr="001A2A7C" w:rsidP="001A2A7C">
      <w:pPr>
        <w:pStyle w:val="AllowPageBreak"/>
      </w:pPr>
    </w:p>
    <w:p w:rsidR="00000000" w:rsidRPr="001A2A7C" w:rsidP="001A2A7C">
      <w:pPr>
        <w:pStyle w:val="Heading1"/>
      </w:pPr>
      <w:bookmarkStart w:id="4" w:name="O_657283"/>
      <w:bookmarkEnd w:id="4"/>
      <w:r w:rsidRPr="001A2A7C">
        <w:t>Assessment Conditio</w:t>
      </w:r>
      <w:r w:rsidRPr="001A2A7C">
        <w:t>ns</w:t>
      </w:r>
    </w:p>
    <w:p w:rsidR="00000000" w:rsidRPr="001A2A7C" w:rsidP="00A855A1">
      <w:pPr>
        <w:pStyle w:val="BodyText"/>
      </w:pPr>
      <w:r w:rsidRPr="001A2A7C">
        <w:t xml:space="preserve">Skills must have been demonstrated in the workplace or in a simulated environment that reflects workplace conditions. The following conditions must be met for this unit: </w:t>
      </w:r>
    </w:p>
    <w:p w:rsidR="00000000" w:rsidRPr="001A2A7C" w:rsidP="001A2A7C">
      <w:pPr>
        <w:pStyle w:val="ListBullet"/>
      </w:pPr>
      <w:r w:rsidRPr="001A2A7C">
        <w:t>use of suitable facilities, equipment and resources, including CMI</w:t>
      </w:r>
    </w:p>
    <w:p w:rsidR="00000000" w:rsidRPr="001A2A7C" w:rsidP="001A2A7C">
      <w:pPr>
        <w:pStyle w:val="ListBullet"/>
      </w:pPr>
      <w:r w:rsidRPr="001A2A7C">
        <w:t>modelling of industry operating conditions, including communication with clients and health professionals</w:t>
      </w:r>
    </w:p>
    <w:p w:rsidR="00000000" w:rsidRPr="001A2A7C" w:rsidP="001A2A7C">
      <w:pPr>
        <w:pStyle w:val="BodyText"/>
      </w:pPr>
    </w:p>
    <w:p w:rsidR="00000000" w:rsidRPr="001A2A7C" w:rsidP="00A855A1">
      <w:pPr>
        <w:pStyle w:val="BodyText"/>
      </w:pPr>
      <w:r w:rsidRPr="001A2A7C">
        <w:t>Assessors must satisfy the Standards for Registered Training Organisations (RTOs) 2015/AQTF mandatory competency requirements for assessors.</w:t>
      </w:r>
    </w:p>
    <w:p w:rsidR="00000000" w:rsidRPr="001A2A7C" w:rsidP="001A2A7C">
      <w:pPr>
        <w:pStyle w:val="Heading1"/>
      </w:pPr>
      <w:bookmarkStart w:id="5" w:name="O_657286"/>
      <w:bookmarkEnd w:id="5"/>
      <w:r w:rsidRPr="001A2A7C">
        <w:t>Links</w:t>
      </w:r>
    </w:p>
    <w:p w:rsidR="00000000" w:rsidRPr="001A2A7C" w:rsidP="00A855A1">
      <w:pPr>
        <w:pStyle w:val="BodyText"/>
      </w:pPr>
      <w:r w:rsidRPr="001A2A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91066">
        <w:rPr>
          <w:rStyle w:val="Hyperlink"/>
        </w:rPr>
        <w:t>https://vetnet.gov.au/Pages/TrainingDocs.aspx?q=ced1390f-48d9-4ab0-bd50-b015e5485705</w:t>
      </w:r>
      <w:r>
        <w:fldChar w:fldCharType="end"/>
      </w:r>
    </w:p>
    <w:p w:rsidR="00000000" w:rsidRPr="001A2A7C" w:rsidP="001A2A7C"/>
    <w:sectPr w:rsidSect="001A2A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7C" w:rsidRPr="00A855A1" w:rsidP="00A85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A1" w:rsidP="001A2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5A1" w:rsidP="001A2A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855A1" w:rsidP="001A2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A7C" w:rsidRPr="00A855A1" w:rsidP="00A85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A1" w:rsidRPr="002D2AF8" w:rsidP="001A2A7C">
    <w:pPr>
      <w:pStyle w:val="Header"/>
      <w:framePr w:wrap="around"/>
    </w:pPr>
    <w:r>
      <w:fldChar w:fldCharType="begin"/>
    </w:r>
    <w:r>
      <w:instrText xml:space="preserve"> TITLE   \* MERGEFORMAT </w:instrText>
    </w:r>
    <w:r>
      <w:fldChar w:fldCharType="separate"/>
    </w:r>
    <w:r>
      <w:t>Assessment Requirements for HLTPHA008 Support pharmacist communication with clients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855A1" w:rsidP="001A2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2F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6C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0C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A7C"/>
    <w:pPr>
      <w:spacing w:before="360" w:after="60"/>
      <w:outlineLvl w:val="0"/>
    </w:pPr>
    <w:rPr>
      <w:sz w:val="32"/>
    </w:rPr>
  </w:style>
  <w:style w:type="paragraph" w:styleId="Heading2">
    <w:name w:val="heading 2"/>
    <w:basedOn w:val="HeadingBase"/>
    <w:next w:val="BodyText"/>
    <w:link w:val="Heading2Char"/>
    <w:qFormat/>
    <w:rsid w:val="001A2A7C"/>
    <w:pPr>
      <w:keepLines/>
      <w:spacing w:before="240" w:after="120"/>
      <w:outlineLvl w:val="1"/>
    </w:pPr>
    <w:rPr>
      <w:sz w:val="28"/>
      <w:szCs w:val="40"/>
    </w:rPr>
  </w:style>
  <w:style w:type="paragraph" w:styleId="Heading3">
    <w:name w:val="heading 3"/>
    <w:basedOn w:val="HeadingBase"/>
    <w:next w:val="BodyText"/>
    <w:link w:val="Heading3Char"/>
    <w:qFormat/>
    <w:rsid w:val="001A2A7C"/>
    <w:pPr>
      <w:spacing w:before="180" w:after="120"/>
      <w:outlineLvl w:val="2"/>
    </w:pPr>
    <w:rPr>
      <w:spacing w:val="-10"/>
      <w:kern w:val="32"/>
    </w:rPr>
  </w:style>
  <w:style w:type="paragraph" w:styleId="Heading4">
    <w:name w:val="heading 4"/>
    <w:basedOn w:val="HeadingBase"/>
    <w:next w:val="BodyText"/>
    <w:link w:val="Heading4Char"/>
    <w:qFormat/>
    <w:rsid w:val="001A2A7C"/>
    <w:pPr>
      <w:spacing w:before="160" w:after="120"/>
      <w:outlineLvl w:val="3"/>
    </w:pPr>
    <w:rPr>
      <w:sz w:val="22"/>
    </w:rPr>
  </w:style>
  <w:style w:type="paragraph" w:styleId="Heading5">
    <w:name w:val="heading 5"/>
    <w:basedOn w:val="HeadingBase"/>
    <w:next w:val="Normal"/>
    <w:link w:val="Heading5Char"/>
    <w:qFormat/>
    <w:rsid w:val="001A2A7C"/>
    <w:pPr>
      <w:spacing w:before="80"/>
      <w:outlineLvl w:val="4"/>
    </w:pPr>
    <w:rPr>
      <w:color w:val="918585"/>
      <w:sz w:val="20"/>
    </w:rPr>
  </w:style>
  <w:style w:type="paragraph" w:styleId="Heading6">
    <w:name w:val="heading 6"/>
    <w:basedOn w:val="HeadingBase"/>
    <w:next w:val="Normal"/>
    <w:link w:val="Heading6Char"/>
    <w:qFormat/>
    <w:rsid w:val="001A2A7C"/>
    <w:pPr>
      <w:spacing w:before="60"/>
      <w:outlineLvl w:val="5"/>
    </w:pPr>
    <w:rPr>
      <w:color w:val="918585"/>
      <w:sz w:val="20"/>
    </w:rPr>
  </w:style>
  <w:style w:type="paragraph" w:styleId="Heading7">
    <w:name w:val="heading 7"/>
    <w:basedOn w:val="Normal"/>
    <w:next w:val="Normal"/>
    <w:link w:val="Heading7Char"/>
    <w:qFormat/>
    <w:rsid w:val="001A2A7C"/>
    <w:pPr>
      <w:ind w:left="720"/>
      <w:outlineLvl w:val="6"/>
    </w:pPr>
    <w:rPr>
      <w:i/>
    </w:rPr>
  </w:style>
  <w:style w:type="paragraph" w:styleId="Heading8">
    <w:name w:val="heading 8"/>
    <w:basedOn w:val="Normal"/>
    <w:next w:val="Normal"/>
    <w:link w:val="Heading8Char"/>
    <w:qFormat/>
    <w:rsid w:val="001A2A7C"/>
    <w:pPr>
      <w:ind w:left="720"/>
      <w:outlineLvl w:val="7"/>
    </w:pPr>
    <w:rPr>
      <w:i/>
    </w:rPr>
  </w:style>
  <w:style w:type="paragraph" w:styleId="Heading9">
    <w:name w:val="heading 9"/>
    <w:basedOn w:val="Normal"/>
    <w:next w:val="Normal"/>
    <w:link w:val="Heading9Char"/>
    <w:qFormat/>
    <w:rsid w:val="001A2A7C"/>
    <w:pPr>
      <w:ind w:left="720"/>
      <w:outlineLvl w:val="8"/>
    </w:pPr>
    <w:rPr>
      <w:i/>
    </w:rPr>
  </w:style>
  <w:style w:type="character" w:default="1" w:styleId="DefaultParagraphFont">
    <w:name w:val="Default Paragraph Font"/>
    <w:uiPriority w:val="1"/>
    <w:unhideWhenUsed/>
    <w:rsid w:val="001A2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A7C"/>
  </w:style>
  <w:style w:type="character" w:customStyle="1" w:styleId="Heading1Char">
    <w:name w:val="Heading 1 Char"/>
    <w:basedOn w:val="DefaultParagraphFont"/>
    <w:link w:val="Heading1"/>
    <w:rsid w:val="001A2A7C"/>
    <w:rPr>
      <w:rFonts w:ascii="Times New Roman" w:eastAsia="Times New Roman" w:hAnsi="Times New Roman" w:cs="Times New Roman"/>
      <w:b/>
      <w:sz w:val="32"/>
      <w:szCs w:val="20"/>
      <w:lang w:eastAsia="en-US"/>
    </w:rPr>
  </w:style>
  <w:style w:type="paragraph" w:styleId="BodyText">
    <w:name w:val="Body Text"/>
    <w:basedOn w:val="Normal"/>
    <w:link w:val="BodyTextChar"/>
    <w:rsid w:val="001A2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A7C"/>
    <w:rPr>
      <w:rFonts w:ascii="Times New Roman" w:eastAsia="Times New Roman" w:hAnsi="Times New Roman" w:cs="Times New Roman"/>
      <w:sz w:val="24"/>
      <w:lang w:eastAsia="en-US"/>
    </w:rPr>
  </w:style>
  <w:style w:type="paragraph" w:styleId="ListBullet">
    <w:name w:val="List Bullet"/>
    <w:basedOn w:val="List"/>
    <w:rsid w:val="001A2A7C"/>
    <w:pPr>
      <w:numPr>
        <w:numId w:val="13"/>
      </w:numPr>
      <w:tabs>
        <w:tab w:val="clear" w:pos="340"/>
      </w:tabs>
      <w:spacing w:before="40" w:after="40"/>
    </w:pPr>
  </w:style>
  <w:style w:type="character" w:customStyle="1" w:styleId="SpecialBold">
    <w:name w:val="Special Bold"/>
    <w:basedOn w:val="DefaultParagraphFont"/>
    <w:rsid w:val="001A2A7C"/>
    <w:rPr>
      <w:b/>
      <w:spacing w:val="0"/>
    </w:rPr>
  </w:style>
  <w:style w:type="paragraph" w:styleId="ListBullet2">
    <w:name w:val="List Bullet 2"/>
    <w:basedOn w:val="List2"/>
    <w:rsid w:val="001A2A7C"/>
    <w:pPr>
      <w:numPr>
        <w:numId w:val="14"/>
      </w:numPr>
      <w:tabs>
        <w:tab w:val="clear" w:pos="680"/>
      </w:tabs>
    </w:pPr>
  </w:style>
  <w:style w:type="character" w:styleId="Emphasis">
    <w:name w:val="Emphasis"/>
    <w:basedOn w:val="DefaultParagraphFont"/>
    <w:qFormat/>
    <w:rsid w:val="001A2A7C"/>
    <w:rPr>
      <w:i/>
    </w:rPr>
  </w:style>
  <w:style w:type="paragraph" w:customStyle="1" w:styleId="SuperHeading">
    <w:name w:val="SuperHeading"/>
    <w:basedOn w:val="Normal"/>
    <w:rsid w:val="001A2A7C"/>
    <w:pPr>
      <w:spacing w:before="240" w:after="120"/>
      <w:outlineLvl w:val="0"/>
    </w:pPr>
    <w:rPr>
      <w:rFonts w:ascii="Times New Roman" w:hAnsi="Times New Roman"/>
      <w:b/>
      <w:sz w:val="32"/>
    </w:rPr>
  </w:style>
  <w:style w:type="paragraph" w:customStyle="1" w:styleId="AllowPageBreak">
    <w:name w:val="AllowPageBreak"/>
    <w:rsid w:val="001A2A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2A7C"/>
    <w:pPr>
      <w:numPr>
        <w:numId w:val="3"/>
      </w:numPr>
      <w:tabs>
        <w:tab w:val="clear" w:pos="1021"/>
      </w:tabs>
      <w:ind w:left="1037" w:hanging="357"/>
    </w:pPr>
  </w:style>
  <w:style w:type="character" w:customStyle="1" w:styleId="Heading2Char">
    <w:name w:val="Heading 2 Char"/>
    <w:basedOn w:val="DefaultParagraphFont"/>
    <w:link w:val="Heading2"/>
    <w:rsid w:val="001A2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A7C"/>
    <w:rPr>
      <w:rFonts w:ascii="Courier New" w:eastAsia="Times New Roman" w:hAnsi="Courier New" w:cs="Times New Roman"/>
      <w:i/>
      <w:szCs w:val="20"/>
      <w:lang w:eastAsia="en-US"/>
    </w:rPr>
  </w:style>
  <w:style w:type="paragraph" w:customStyle="1" w:styleId="HeadingBase">
    <w:name w:val="Heading Base"/>
    <w:rsid w:val="001A2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A7C"/>
    <w:pPr>
      <w:tabs>
        <w:tab w:val="right" w:leader="dot" w:pos="9072"/>
      </w:tabs>
      <w:ind w:left="567"/>
    </w:pPr>
    <w:rPr>
      <w:szCs w:val="22"/>
    </w:rPr>
  </w:style>
  <w:style w:type="paragraph" w:customStyle="1" w:styleId="TOCBase">
    <w:name w:val="TOC Base"/>
    <w:rsid w:val="001A2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A7C"/>
    <w:pPr>
      <w:tabs>
        <w:tab w:val="right" w:leader="dot" w:pos="9072"/>
      </w:tabs>
      <w:spacing w:before="40" w:after="40"/>
      <w:ind w:left="284"/>
    </w:pPr>
    <w:rPr>
      <w:rFonts w:ascii="Times New Roman" w:hAnsi="Times New Roman"/>
    </w:rPr>
  </w:style>
  <w:style w:type="paragraph" w:styleId="TOC1">
    <w:name w:val="toc 1"/>
    <w:basedOn w:val="TOCBase"/>
    <w:next w:val="Normal"/>
    <w:rsid w:val="001A2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A7C"/>
    <w:rPr>
      <w:rFonts w:ascii="Times New Roman" w:eastAsia="Times New Roman" w:hAnsi="Times New Roman" w:cs="Times New Roman"/>
      <w:sz w:val="16"/>
      <w:lang w:eastAsia="en-US"/>
    </w:rPr>
  </w:style>
  <w:style w:type="paragraph" w:styleId="Title">
    <w:name w:val="Title"/>
    <w:basedOn w:val="HeadingBase"/>
    <w:link w:val="TitleChar"/>
    <w:qFormat/>
    <w:rsid w:val="001A2A7C"/>
    <w:pPr>
      <w:spacing w:before="5040"/>
      <w:jc w:val="center"/>
    </w:pPr>
    <w:rPr>
      <w:sz w:val="48"/>
      <w:szCs w:val="72"/>
      <w:lang w:val="en-US"/>
    </w:rPr>
  </w:style>
  <w:style w:type="character" w:customStyle="1" w:styleId="TitleChar">
    <w:name w:val="Title Char"/>
    <w:basedOn w:val="DefaultParagraphFont"/>
    <w:link w:val="Title"/>
    <w:rsid w:val="001A2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A7C"/>
    <w:pPr>
      <w:tabs>
        <w:tab w:val="left" w:pos="3600"/>
        <w:tab w:val="left" w:pos="3958"/>
      </w:tabs>
    </w:pPr>
  </w:style>
  <w:style w:type="paragraph" w:styleId="List">
    <w:name w:val="List"/>
    <w:basedOn w:val="BodyText"/>
    <w:next w:val="BodyText"/>
    <w:rsid w:val="001A2A7C"/>
    <w:pPr>
      <w:tabs>
        <w:tab w:val="left" w:pos="340"/>
      </w:tabs>
      <w:spacing w:before="60" w:after="60"/>
      <w:ind w:left="340" w:hanging="340"/>
    </w:pPr>
  </w:style>
  <w:style w:type="paragraph" w:customStyle="1" w:styleId="Note">
    <w:name w:val="Note"/>
    <w:basedOn w:val="BodyText"/>
    <w:rsid w:val="001A2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A7C"/>
    <w:pPr>
      <w:framePr w:wrap="auto" w:hAnchor="text" w:y="6049"/>
    </w:pPr>
    <w:rPr>
      <w:color w:val="000000"/>
      <w:sz w:val="40"/>
    </w:rPr>
  </w:style>
  <w:style w:type="paragraph" w:customStyle="1" w:styleId="TOCTitle">
    <w:name w:val="TOCTitle"/>
    <w:basedOn w:val="Heading1"/>
    <w:rsid w:val="001A2A7C"/>
    <w:pPr>
      <w:spacing w:after="240"/>
      <w:jc w:val="center"/>
      <w:outlineLvl w:val="9"/>
    </w:pPr>
    <w:rPr>
      <w:caps/>
    </w:rPr>
  </w:style>
  <w:style w:type="paragraph" w:customStyle="1" w:styleId="Version">
    <w:name w:val="Version"/>
    <w:rsid w:val="001A2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A7C"/>
    <w:pPr>
      <w:keepNext w:val="0"/>
      <w:tabs>
        <w:tab w:val="right" w:pos="4176"/>
      </w:tabs>
      <w:ind w:left="198" w:hanging="198"/>
    </w:pPr>
    <w:rPr>
      <w:rFonts w:ascii="Garamond" w:hAnsi="Garamond"/>
    </w:rPr>
  </w:style>
  <w:style w:type="paragraph" w:styleId="IndexHeading">
    <w:name w:val="index heading"/>
    <w:basedOn w:val="Normal"/>
    <w:next w:val="Index1"/>
    <w:semiHidden/>
    <w:rsid w:val="001A2A7C"/>
    <w:pPr>
      <w:spacing w:before="120" w:after="120"/>
    </w:pPr>
    <w:rPr>
      <w:rFonts w:ascii="Arial" w:hAnsi="Arial"/>
      <w:b/>
      <w:color w:val="918585"/>
      <w:sz w:val="24"/>
    </w:rPr>
  </w:style>
  <w:style w:type="paragraph" w:styleId="Header">
    <w:name w:val="header"/>
    <w:basedOn w:val="Normal"/>
    <w:link w:val="HeaderChar"/>
    <w:rsid w:val="001A2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A7C"/>
    <w:rPr>
      <w:rFonts w:ascii="Times New Roman" w:eastAsia="Times New Roman" w:hAnsi="Times New Roman" w:cs="Times New Roman"/>
      <w:sz w:val="16"/>
      <w:szCs w:val="20"/>
      <w:lang w:val="en-GB" w:eastAsia="en-US"/>
    </w:rPr>
  </w:style>
  <w:style w:type="paragraph" w:customStyle="1" w:styleId="Chapter">
    <w:name w:val="Chapter"/>
    <w:basedOn w:val="Normal"/>
    <w:rsid w:val="001A2A7C"/>
    <w:pPr>
      <w:spacing w:before="240"/>
    </w:pPr>
    <w:rPr>
      <w:rFonts w:ascii="Times New Roman" w:hAnsi="Times New Roman"/>
      <w:smallCaps/>
      <w:spacing w:val="80"/>
      <w:sz w:val="28"/>
    </w:rPr>
  </w:style>
  <w:style w:type="paragraph" w:customStyle="1" w:styleId="InChapter">
    <w:name w:val="InChapter"/>
    <w:basedOn w:val="Heading3"/>
    <w:rsid w:val="001A2A7C"/>
    <w:pPr>
      <w:spacing w:after="240"/>
      <w:outlineLvl w:val="9"/>
    </w:pPr>
    <w:rPr>
      <w:noProof/>
    </w:rPr>
  </w:style>
  <w:style w:type="paragraph" w:styleId="Index2">
    <w:name w:val="index 2"/>
    <w:basedOn w:val="Normal"/>
    <w:next w:val="Normal"/>
    <w:semiHidden/>
    <w:rsid w:val="001A2A7C"/>
    <w:pPr>
      <w:tabs>
        <w:tab w:val="right" w:pos="4176"/>
      </w:tabs>
      <w:ind w:left="568" w:hanging="284"/>
    </w:pPr>
    <w:rPr>
      <w:rFonts w:ascii="Garamond" w:hAnsi="Garamond"/>
    </w:rPr>
  </w:style>
  <w:style w:type="paragraph" w:customStyle="1" w:styleId="Byline">
    <w:name w:val="Byline"/>
    <w:rsid w:val="001A2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A7C"/>
    <w:pPr>
      <w:tabs>
        <w:tab w:val="clear" w:pos="3600"/>
        <w:tab w:val="clear" w:pos="3958"/>
      </w:tabs>
      <w:jc w:val="right"/>
    </w:pPr>
  </w:style>
  <w:style w:type="paragraph" w:styleId="Caption">
    <w:name w:val="caption"/>
    <w:basedOn w:val="BodyText"/>
    <w:next w:val="Normal"/>
    <w:qFormat/>
    <w:rsid w:val="001A2A7C"/>
    <w:pPr>
      <w:framePr w:w="2268" w:hSpace="181" w:vSpace="181" w:wrap="around" w:vAnchor="text" w:hAnchor="page" w:x="1135" w:y="285" w:anchorLock="1"/>
    </w:pPr>
    <w:rPr>
      <w:i/>
    </w:rPr>
  </w:style>
  <w:style w:type="paragraph" w:customStyle="1" w:styleId="MiniTOCTitle">
    <w:name w:val="MiniTOCTitle"/>
    <w:basedOn w:val="Heading4"/>
    <w:rsid w:val="001A2A7C"/>
    <w:pPr>
      <w:spacing w:before="240"/>
      <w:outlineLvl w:val="9"/>
    </w:pPr>
    <w:rPr>
      <w:noProof/>
      <w:sz w:val="24"/>
    </w:rPr>
  </w:style>
  <w:style w:type="paragraph" w:customStyle="1" w:styleId="MiniTOCItem">
    <w:name w:val="MiniTOCItem"/>
    <w:basedOn w:val="ListBullet"/>
    <w:rsid w:val="001A2A7C"/>
    <w:pPr>
      <w:numPr>
        <w:numId w:val="0"/>
      </w:numPr>
      <w:tabs>
        <w:tab w:val="right" w:leader="dot" w:pos="6521"/>
      </w:tabs>
      <w:spacing w:before="0" w:after="0"/>
    </w:pPr>
  </w:style>
  <w:style w:type="paragraph" w:customStyle="1" w:styleId="TOFTitle">
    <w:name w:val="TOFTitle"/>
    <w:basedOn w:val="TOCTitle"/>
    <w:rsid w:val="001A2A7C"/>
  </w:style>
  <w:style w:type="paragraph" w:styleId="TableofFigures">
    <w:name w:val="table of figures"/>
    <w:basedOn w:val="Normal"/>
    <w:next w:val="Normal"/>
    <w:semiHidden/>
    <w:rsid w:val="001A2A7C"/>
    <w:pPr>
      <w:tabs>
        <w:tab w:val="right" w:leader="dot" w:pos="9072"/>
      </w:tabs>
      <w:ind w:left="970" w:hanging="403"/>
    </w:pPr>
    <w:rPr>
      <w:rFonts w:ascii="Times New Roman" w:hAnsi="Times New Roman"/>
      <w:b/>
    </w:rPr>
  </w:style>
  <w:style w:type="paragraph" w:styleId="ListNumber">
    <w:name w:val="List Number"/>
    <w:basedOn w:val="List"/>
    <w:rsid w:val="001A2A7C"/>
    <w:pPr>
      <w:numPr>
        <w:numId w:val="16"/>
      </w:numPr>
      <w:tabs>
        <w:tab w:val="clear" w:pos="340"/>
      </w:tabs>
    </w:pPr>
  </w:style>
  <w:style w:type="character" w:customStyle="1" w:styleId="WingdingSymbols">
    <w:name w:val="Wingding Symbols"/>
    <w:rsid w:val="001A2A7C"/>
    <w:rPr>
      <w:rFonts w:ascii="Wingdings" w:hAnsi="Wingdings"/>
    </w:rPr>
  </w:style>
  <w:style w:type="paragraph" w:customStyle="1" w:styleId="TableHeading">
    <w:name w:val="Table Heading"/>
    <w:basedOn w:val="HeadingBase"/>
    <w:rsid w:val="001A2A7C"/>
    <w:pPr>
      <w:keepLines/>
      <w:pBdr>
        <w:bottom w:val="single" w:sz="6" w:space="1" w:color="918585"/>
      </w:pBdr>
      <w:spacing w:before="240"/>
    </w:pPr>
  </w:style>
  <w:style w:type="character" w:customStyle="1" w:styleId="HotSpot">
    <w:name w:val="HotSpot"/>
    <w:rsid w:val="001A2A7C"/>
    <w:rPr>
      <w:color w:val="0033CC"/>
      <w:u w:val="none"/>
    </w:rPr>
  </w:style>
  <w:style w:type="paragraph" w:customStyle="1" w:styleId="BodyTextRight">
    <w:name w:val="Body Text Right"/>
    <w:basedOn w:val="BodyText"/>
    <w:rsid w:val="001A2A7C"/>
    <w:pPr>
      <w:spacing w:before="0" w:after="0"/>
      <w:jc w:val="right"/>
    </w:pPr>
  </w:style>
  <w:style w:type="paragraph" w:styleId="Index3">
    <w:name w:val="index 3"/>
    <w:basedOn w:val="ListNumber2"/>
    <w:next w:val="Normal"/>
    <w:semiHidden/>
    <w:rsid w:val="001A2A7C"/>
    <w:pPr>
      <w:numPr>
        <w:numId w:val="0"/>
      </w:numPr>
      <w:tabs>
        <w:tab w:val="right" w:leader="dot" w:pos="4176"/>
      </w:tabs>
    </w:pPr>
  </w:style>
  <w:style w:type="paragraph" w:styleId="ListNumber2">
    <w:name w:val="List Number 2"/>
    <w:basedOn w:val="List2"/>
    <w:rsid w:val="001A2A7C"/>
    <w:pPr>
      <w:numPr>
        <w:numId w:val="11"/>
      </w:numPr>
      <w:tabs>
        <w:tab w:val="clear" w:pos="1060"/>
      </w:tabs>
    </w:pPr>
  </w:style>
  <w:style w:type="paragraph" w:customStyle="1" w:styleId="MarginNote">
    <w:name w:val="Margin Note"/>
    <w:basedOn w:val="BodyText"/>
    <w:rsid w:val="001A2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A7C"/>
    <w:rPr>
      <w:sz w:val="32"/>
    </w:rPr>
  </w:style>
  <w:style w:type="paragraph" w:customStyle="1" w:styleId="HeadingProcedure">
    <w:name w:val="Heading Procedure"/>
    <w:basedOn w:val="HeadingBase"/>
    <w:next w:val="Normal"/>
    <w:rsid w:val="001A2A7C"/>
    <w:pPr>
      <w:tabs>
        <w:tab w:val="left" w:pos="0"/>
      </w:tabs>
      <w:spacing w:before="120" w:after="60"/>
    </w:pPr>
    <w:rPr>
      <w:i/>
      <w:color w:val="918585"/>
      <w:sz w:val="22"/>
    </w:rPr>
  </w:style>
  <w:style w:type="paragraph" w:customStyle="1" w:styleId="TableBodyText">
    <w:name w:val="Table Body Text"/>
    <w:basedOn w:val="BodyText"/>
    <w:rsid w:val="001A2A7C"/>
    <w:pPr>
      <w:spacing w:before="60" w:after="60"/>
    </w:pPr>
  </w:style>
  <w:style w:type="paragraph" w:styleId="ListContinue">
    <w:name w:val="List Continue"/>
    <w:basedOn w:val="List"/>
    <w:rsid w:val="001A2A7C"/>
    <w:pPr>
      <w:ind w:firstLine="0"/>
    </w:pPr>
  </w:style>
  <w:style w:type="paragraph" w:customStyle="1" w:styleId="ListNote">
    <w:name w:val="List Note"/>
    <w:basedOn w:val="List"/>
    <w:rsid w:val="001A2A7C"/>
    <w:pPr>
      <w:pBdr>
        <w:top w:val="single" w:sz="6" w:space="2" w:color="918585"/>
        <w:bottom w:val="single" w:sz="6" w:space="2" w:color="918585"/>
      </w:pBdr>
      <w:tabs>
        <w:tab w:val="left" w:pos="1021"/>
      </w:tabs>
      <w:ind w:firstLine="0"/>
    </w:pPr>
  </w:style>
  <w:style w:type="paragraph" w:customStyle="1" w:styleId="Warning">
    <w:name w:val="Warning"/>
    <w:basedOn w:val="BodyText"/>
    <w:rsid w:val="001A2A7C"/>
    <w:pPr>
      <w:shd w:val="clear" w:color="auto" w:fill="D9D9D9"/>
      <w:tabs>
        <w:tab w:val="left" w:pos="992"/>
      </w:tabs>
      <w:ind w:left="119" w:right="119"/>
    </w:pPr>
    <w:rPr>
      <w:sz w:val="20"/>
    </w:rPr>
  </w:style>
  <w:style w:type="paragraph" w:customStyle="1" w:styleId="MarginIcons">
    <w:name w:val="Margin Icons"/>
    <w:basedOn w:val="BodyText"/>
    <w:rsid w:val="001A2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A7C"/>
    <w:rPr>
      <w:rFonts w:ascii="Courier New" w:hAnsi="Courier New"/>
    </w:rPr>
  </w:style>
  <w:style w:type="paragraph" w:customStyle="1" w:styleId="NoteBullet">
    <w:name w:val="Note Bullet"/>
    <w:basedOn w:val="Note"/>
    <w:rsid w:val="001A2A7C"/>
    <w:pPr>
      <w:tabs>
        <w:tab w:val="clear" w:pos="680"/>
      </w:tabs>
      <w:spacing w:before="60" w:after="60"/>
    </w:pPr>
  </w:style>
  <w:style w:type="paragraph" w:customStyle="1" w:styleId="SubHeading2">
    <w:name w:val="SubHeading2"/>
    <w:basedOn w:val="HeadingBase"/>
    <w:rsid w:val="001A2A7C"/>
    <w:pPr>
      <w:spacing w:before="240" w:after="60"/>
    </w:pPr>
    <w:rPr>
      <w:sz w:val="20"/>
    </w:rPr>
  </w:style>
  <w:style w:type="paragraph" w:customStyle="1" w:styleId="SubHeading1">
    <w:name w:val="SubHeading1"/>
    <w:basedOn w:val="HeadingBase"/>
    <w:rsid w:val="001A2A7C"/>
    <w:pPr>
      <w:spacing w:before="240" w:after="60"/>
    </w:pPr>
    <w:rPr>
      <w:color w:val="918585"/>
      <w:sz w:val="22"/>
    </w:rPr>
  </w:style>
  <w:style w:type="paragraph" w:customStyle="1" w:styleId="SideHeading">
    <w:name w:val="Side Heading"/>
    <w:basedOn w:val="HeadingBase"/>
    <w:rsid w:val="001A2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A7C"/>
    <w:pPr>
      <w:numPr>
        <w:numId w:val="12"/>
      </w:numPr>
    </w:pPr>
  </w:style>
  <w:style w:type="paragraph" w:styleId="PlainText">
    <w:name w:val="Plain Text"/>
    <w:basedOn w:val="Normal"/>
    <w:link w:val="PlainTextChar"/>
    <w:rsid w:val="001A2A7C"/>
    <w:rPr>
      <w:sz w:val="20"/>
    </w:rPr>
  </w:style>
  <w:style w:type="character" w:customStyle="1" w:styleId="PlainTextChar">
    <w:name w:val="Plain Text Char"/>
    <w:basedOn w:val="DefaultParagraphFont"/>
    <w:link w:val="PlainText"/>
    <w:rsid w:val="001A2A7C"/>
    <w:rPr>
      <w:rFonts w:ascii="Courier New" w:eastAsia="Times New Roman" w:hAnsi="Courier New" w:cs="Times New Roman"/>
      <w:sz w:val="20"/>
      <w:szCs w:val="20"/>
      <w:lang w:eastAsia="en-US"/>
    </w:rPr>
  </w:style>
  <w:style w:type="character" w:customStyle="1" w:styleId="MenuOption">
    <w:name w:val="Menu Option"/>
    <w:basedOn w:val="DefaultParagraphFont"/>
    <w:rsid w:val="001A2A7C"/>
    <w:rPr>
      <w:b/>
      <w:smallCaps/>
    </w:rPr>
  </w:style>
  <w:style w:type="paragraph" w:customStyle="1" w:styleId="TableListNumber">
    <w:name w:val="Table List Number"/>
    <w:basedOn w:val="ListNumber"/>
    <w:rsid w:val="001A2A7C"/>
    <w:pPr>
      <w:numPr>
        <w:numId w:val="0"/>
      </w:numPr>
    </w:pPr>
  </w:style>
  <w:style w:type="paragraph" w:styleId="TOC4">
    <w:name w:val="toc 4"/>
    <w:basedOn w:val="TOCBase"/>
    <w:next w:val="Normal"/>
    <w:semiHidden/>
    <w:rsid w:val="001A2A7C"/>
    <w:pPr>
      <w:tabs>
        <w:tab w:val="right" w:leader="dot" w:pos="9071"/>
      </w:tabs>
      <w:ind w:left="1701"/>
    </w:pPr>
  </w:style>
  <w:style w:type="paragraph" w:customStyle="1" w:styleId="ListAlpha">
    <w:name w:val="List Alpha"/>
    <w:basedOn w:val="List"/>
    <w:rsid w:val="001A2A7C"/>
    <w:pPr>
      <w:numPr>
        <w:numId w:val="10"/>
      </w:numPr>
    </w:pPr>
  </w:style>
  <w:style w:type="paragraph" w:customStyle="1" w:styleId="ListAlpha2">
    <w:name w:val="List Alpha 2"/>
    <w:basedOn w:val="List2"/>
    <w:rsid w:val="001A2A7C"/>
    <w:pPr>
      <w:numPr>
        <w:numId w:val="9"/>
      </w:numPr>
    </w:pPr>
  </w:style>
  <w:style w:type="paragraph" w:styleId="List2">
    <w:name w:val="List 2"/>
    <w:basedOn w:val="BodyText"/>
    <w:rsid w:val="001A2A7C"/>
    <w:pPr>
      <w:tabs>
        <w:tab w:val="left" w:pos="680"/>
      </w:tabs>
      <w:spacing w:before="60" w:after="60"/>
      <w:ind w:left="680" w:hanging="340"/>
    </w:pPr>
  </w:style>
  <w:style w:type="paragraph" w:styleId="List3">
    <w:name w:val="List 3"/>
    <w:basedOn w:val="BodyText"/>
    <w:rsid w:val="001A2A7C"/>
    <w:pPr>
      <w:tabs>
        <w:tab w:val="left" w:pos="1021"/>
      </w:tabs>
      <w:spacing w:before="60" w:after="60"/>
      <w:ind w:left="1020" w:hanging="340"/>
    </w:pPr>
  </w:style>
  <w:style w:type="paragraph" w:styleId="List4">
    <w:name w:val="List 4"/>
    <w:basedOn w:val="BodyText"/>
    <w:rsid w:val="001A2A7C"/>
    <w:pPr>
      <w:tabs>
        <w:tab w:val="left" w:pos="1361"/>
      </w:tabs>
      <w:spacing w:before="60" w:after="60"/>
      <w:ind w:left="1361" w:hanging="340"/>
    </w:pPr>
  </w:style>
  <w:style w:type="paragraph" w:styleId="List5">
    <w:name w:val="List 5"/>
    <w:basedOn w:val="BodyText"/>
    <w:rsid w:val="001A2A7C"/>
    <w:pPr>
      <w:tabs>
        <w:tab w:val="left" w:pos="1701"/>
      </w:tabs>
      <w:spacing w:before="60" w:after="60"/>
      <w:ind w:left="1701" w:hanging="340"/>
    </w:pPr>
  </w:style>
  <w:style w:type="paragraph" w:styleId="ListBullet4">
    <w:name w:val="List Bullet 4"/>
    <w:basedOn w:val="List4"/>
    <w:rsid w:val="001A2A7C"/>
    <w:pPr>
      <w:numPr>
        <w:numId w:val="4"/>
      </w:numPr>
      <w:tabs>
        <w:tab w:val="clear" w:pos="1361"/>
      </w:tabs>
    </w:pPr>
  </w:style>
  <w:style w:type="paragraph" w:styleId="ListBullet5">
    <w:name w:val="List Bullet 5"/>
    <w:basedOn w:val="List5"/>
    <w:rsid w:val="001A2A7C"/>
    <w:pPr>
      <w:numPr>
        <w:numId w:val="5"/>
      </w:numPr>
    </w:pPr>
  </w:style>
  <w:style w:type="paragraph" w:styleId="ListContinue2">
    <w:name w:val="List Continue 2"/>
    <w:basedOn w:val="List2"/>
    <w:rsid w:val="001A2A7C"/>
    <w:pPr>
      <w:ind w:firstLine="0"/>
    </w:pPr>
  </w:style>
  <w:style w:type="paragraph" w:styleId="ListContinue3">
    <w:name w:val="List Continue 3"/>
    <w:basedOn w:val="List3"/>
    <w:rsid w:val="001A2A7C"/>
    <w:pPr>
      <w:ind w:left="1021" w:firstLine="0"/>
    </w:pPr>
  </w:style>
  <w:style w:type="paragraph" w:styleId="ListContinue4">
    <w:name w:val="List Continue 4"/>
    <w:basedOn w:val="List4"/>
    <w:rsid w:val="001A2A7C"/>
    <w:pPr>
      <w:ind w:firstLine="0"/>
    </w:pPr>
  </w:style>
  <w:style w:type="paragraph" w:styleId="ListContinue5">
    <w:name w:val="List Continue 5"/>
    <w:basedOn w:val="List5"/>
    <w:rsid w:val="001A2A7C"/>
    <w:pPr>
      <w:ind w:firstLine="0"/>
    </w:pPr>
  </w:style>
  <w:style w:type="paragraph" w:styleId="ListNumber3">
    <w:name w:val="List Number 3"/>
    <w:basedOn w:val="List3"/>
    <w:rsid w:val="001A2A7C"/>
    <w:pPr>
      <w:numPr>
        <w:numId w:val="6"/>
      </w:numPr>
    </w:pPr>
  </w:style>
  <w:style w:type="paragraph" w:styleId="ListNumber4">
    <w:name w:val="List Number 4"/>
    <w:basedOn w:val="List4"/>
    <w:rsid w:val="001A2A7C"/>
    <w:pPr>
      <w:numPr>
        <w:numId w:val="7"/>
      </w:numPr>
    </w:pPr>
  </w:style>
  <w:style w:type="paragraph" w:styleId="ListNumber5">
    <w:name w:val="List Number 5"/>
    <w:basedOn w:val="List5"/>
    <w:rsid w:val="001A2A7C"/>
    <w:pPr>
      <w:numPr>
        <w:numId w:val="8"/>
      </w:numPr>
    </w:pPr>
  </w:style>
  <w:style w:type="paragraph" w:styleId="BlockText">
    <w:name w:val="Block Text"/>
    <w:basedOn w:val="Normal"/>
    <w:rsid w:val="001A2A7C"/>
    <w:pPr>
      <w:spacing w:after="120"/>
      <w:ind w:left="1440" w:right="1440"/>
    </w:pPr>
  </w:style>
  <w:style w:type="character" w:customStyle="1" w:styleId="Subscript">
    <w:name w:val="Subscript"/>
    <w:basedOn w:val="DefaultParagraphFont"/>
    <w:rsid w:val="001A2A7C"/>
    <w:rPr>
      <w:sz w:val="16"/>
      <w:vertAlign w:val="subscript"/>
    </w:rPr>
  </w:style>
  <w:style w:type="character" w:customStyle="1" w:styleId="Superscript">
    <w:name w:val="Superscript"/>
    <w:basedOn w:val="DefaultParagraphFont"/>
    <w:rsid w:val="001A2A7C"/>
    <w:rPr>
      <w:sz w:val="16"/>
      <w:vertAlign w:val="superscript"/>
    </w:rPr>
  </w:style>
  <w:style w:type="character" w:customStyle="1" w:styleId="Symbols">
    <w:name w:val="Symbols"/>
    <w:basedOn w:val="DefaultParagraphFont"/>
    <w:rsid w:val="001A2A7C"/>
    <w:rPr>
      <w:rFonts w:ascii="Symbol" w:hAnsi="Symbol"/>
    </w:rPr>
  </w:style>
  <w:style w:type="character" w:customStyle="1" w:styleId="MenuOptions">
    <w:name w:val="Menu Options"/>
    <w:basedOn w:val="DefaultParagraphFont"/>
    <w:rsid w:val="001A2A7C"/>
    <w:rPr>
      <w:rFonts w:ascii="Arial Narrow" w:hAnsi="Arial Narrow"/>
      <w:smallCaps/>
    </w:rPr>
  </w:style>
  <w:style w:type="character" w:customStyle="1" w:styleId="Buttons">
    <w:name w:val="Buttons"/>
    <w:basedOn w:val="DefaultParagraphFont"/>
    <w:rsid w:val="001A2A7C"/>
    <w:rPr>
      <w:b/>
    </w:rPr>
  </w:style>
  <w:style w:type="character" w:customStyle="1" w:styleId="Underlined">
    <w:name w:val="Underlined"/>
    <w:basedOn w:val="DefaultParagraphFont"/>
    <w:rsid w:val="001A2A7C"/>
    <w:rPr>
      <w:u w:val="single"/>
    </w:rPr>
  </w:style>
  <w:style w:type="paragraph" w:customStyle="1" w:styleId="TableBodyTextRight">
    <w:name w:val="Table Body Text Right"/>
    <w:basedOn w:val="TableBodyText"/>
    <w:rsid w:val="001A2A7C"/>
    <w:pPr>
      <w:widowControl w:val="0"/>
      <w:autoSpaceDE w:val="0"/>
      <w:autoSpaceDN w:val="0"/>
      <w:adjustRightInd w:val="0"/>
      <w:jc w:val="right"/>
    </w:pPr>
    <w:rPr>
      <w:rFonts w:cs="Arial"/>
      <w:szCs w:val="18"/>
    </w:rPr>
  </w:style>
  <w:style w:type="paragraph" w:customStyle="1" w:styleId="CopyrightText">
    <w:name w:val="Copyright Text"/>
    <w:basedOn w:val="BodyText"/>
    <w:rsid w:val="001A2A7C"/>
    <w:rPr>
      <w:sz w:val="18"/>
    </w:rPr>
  </w:style>
  <w:style w:type="paragraph" w:customStyle="1" w:styleId="BodySmallRight">
    <w:name w:val="Body Small Right"/>
    <w:basedOn w:val="BodyTextRight"/>
    <w:rsid w:val="001A2A7C"/>
    <w:rPr>
      <w:sz w:val="18"/>
      <w:szCs w:val="18"/>
    </w:rPr>
  </w:style>
  <w:style w:type="paragraph" w:customStyle="1" w:styleId="MarginEdition">
    <w:name w:val="Margin Edition"/>
    <w:basedOn w:val="MarginNote"/>
    <w:rsid w:val="001A2A7C"/>
    <w:pPr>
      <w:spacing w:before="0" w:after="0"/>
    </w:pPr>
    <w:rPr>
      <w:rFonts w:ascii="Times New Roman" w:hAnsi="Times New Roman"/>
      <w:color w:val="999999"/>
    </w:rPr>
  </w:style>
  <w:style w:type="paragraph" w:customStyle="1" w:styleId="Spacer">
    <w:name w:val="Spacer"/>
    <w:basedOn w:val="Normal"/>
    <w:rsid w:val="001A2A7C"/>
    <w:rPr>
      <w:sz w:val="2"/>
      <w:szCs w:val="2"/>
    </w:rPr>
  </w:style>
  <w:style w:type="character" w:customStyle="1" w:styleId="Small">
    <w:name w:val="Small"/>
    <w:basedOn w:val="DefaultParagraphFont"/>
    <w:rsid w:val="001A2A7C"/>
    <w:rPr>
      <w:sz w:val="16"/>
    </w:rPr>
  </w:style>
  <w:style w:type="paragraph" w:customStyle="1" w:styleId="WideTable">
    <w:name w:val="Wide Table"/>
    <w:basedOn w:val="Normal"/>
    <w:rsid w:val="001A2A7C"/>
    <w:pPr>
      <w:ind w:left="-1418"/>
    </w:pPr>
    <w:rPr>
      <w:sz w:val="2"/>
      <w:szCs w:val="2"/>
    </w:rPr>
  </w:style>
  <w:style w:type="character" w:styleId="PageNumber">
    <w:name w:val="page number"/>
    <w:basedOn w:val="DefaultParagraphFont"/>
    <w:rsid w:val="001A2A7C"/>
  </w:style>
  <w:style w:type="paragraph" w:styleId="Quote">
    <w:name w:val="Quote"/>
    <w:basedOn w:val="Heading1"/>
    <w:link w:val="QuoteChar"/>
    <w:qFormat/>
    <w:rsid w:val="001A2A7C"/>
    <w:rPr>
      <w:b w:val="0"/>
      <w:sz w:val="72"/>
      <w:szCs w:val="72"/>
      <w:lang w:val="en-NZ"/>
    </w:rPr>
  </w:style>
  <w:style w:type="character" w:customStyle="1" w:styleId="QuoteChar">
    <w:name w:val="Quote Char"/>
    <w:basedOn w:val="DefaultParagraphFont"/>
    <w:link w:val="Quote"/>
    <w:rsid w:val="001A2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A7C"/>
    <w:pPr>
      <w:pageBreakBefore/>
    </w:pPr>
  </w:style>
  <w:style w:type="paragraph" w:customStyle="1" w:styleId="Border">
    <w:name w:val="Border"/>
    <w:basedOn w:val="Normal"/>
    <w:qFormat/>
    <w:rsid w:val="001A2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A7C"/>
    <w:rPr>
      <w:b/>
      <w:bCs/>
      <w:i/>
      <w:iCs/>
      <w:color w:val="auto"/>
    </w:rPr>
  </w:style>
  <w:style w:type="paragraph" w:styleId="IntenseQuote">
    <w:name w:val="Intense Quote"/>
    <w:basedOn w:val="Normal"/>
    <w:next w:val="Normal"/>
    <w:link w:val="IntenseQuoteChar"/>
    <w:uiPriority w:val="30"/>
    <w:qFormat/>
    <w:rsid w:val="001A2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A7C"/>
    <w:rPr>
      <w:smallCaps/>
      <w:color w:val="auto"/>
      <w:u w:val="single"/>
    </w:rPr>
  </w:style>
  <w:style w:type="character" w:styleId="IntenseReference">
    <w:name w:val="Intense Reference"/>
    <w:basedOn w:val="DefaultParagraphFont"/>
    <w:uiPriority w:val="32"/>
    <w:qFormat/>
    <w:rsid w:val="001A2A7C"/>
    <w:rPr>
      <w:b/>
      <w:bCs/>
      <w:smallCaps/>
      <w:color w:val="auto"/>
      <w:spacing w:val="5"/>
      <w:u w:val="single"/>
    </w:rPr>
  </w:style>
  <w:style w:type="paragraph" w:customStyle="1" w:styleId="2ColumnHeading">
    <w:name w:val="2Column Heading"/>
    <w:basedOn w:val="BodyText"/>
    <w:qFormat/>
    <w:rsid w:val="001A2A7C"/>
    <w:pPr>
      <w:spacing w:after="60"/>
      <w:ind w:left="-2268"/>
    </w:pPr>
    <w:rPr>
      <w:b/>
    </w:rPr>
  </w:style>
  <w:style w:type="paragraph" w:customStyle="1" w:styleId="Heading1TOC">
    <w:name w:val="Heading1 TOC"/>
    <w:basedOn w:val="Normal"/>
    <w:qFormat/>
    <w:rsid w:val="001A2A7C"/>
    <w:pPr>
      <w:spacing w:before="240" w:after="120"/>
    </w:pPr>
    <w:rPr>
      <w:rFonts w:ascii="Times New Roman" w:hAnsi="Times New Roman"/>
      <w:b/>
      <w:sz w:val="32"/>
    </w:rPr>
  </w:style>
  <w:style w:type="paragraph" w:customStyle="1" w:styleId="Heading2TOC">
    <w:name w:val="Heading2 TOC"/>
    <w:basedOn w:val="Normal"/>
    <w:qFormat/>
    <w:rsid w:val="001A2A7C"/>
    <w:pPr>
      <w:spacing w:before="240" w:after="60"/>
    </w:pPr>
    <w:rPr>
      <w:rFonts w:ascii="Times New Roman" w:hAnsi="Times New Roman"/>
      <w:b/>
      <w:sz w:val="28"/>
    </w:rPr>
  </w:style>
  <w:style w:type="character" w:customStyle="1" w:styleId="Underline">
    <w:name w:val="Underline"/>
    <w:basedOn w:val="DefaultParagraphFont"/>
    <w:qFormat/>
    <w:rsid w:val="001A2A7C"/>
    <w:rPr>
      <w:u w:val="single"/>
    </w:rPr>
  </w:style>
  <w:style w:type="character" w:customStyle="1" w:styleId="BoldandItalics">
    <w:name w:val="Bold and Italics"/>
    <w:qFormat/>
    <w:rsid w:val="001A2A7C"/>
    <w:rPr>
      <w:b/>
      <w:i/>
      <w:u w:val="none"/>
    </w:rPr>
  </w:style>
  <w:style w:type="paragraph" w:styleId="BalloonText">
    <w:name w:val="Balloon Text"/>
    <w:basedOn w:val="Normal"/>
    <w:link w:val="BalloonTextChar"/>
    <w:rsid w:val="001A2A7C"/>
    <w:rPr>
      <w:rFonts w:ascii="Tahoma" w:hAnsi="Tahoma" w:cs="Tahoma"/>
      <w:sz w:val="16"/>
      <w:szCs w:val="16"/>
    </w:rPr>
  </w:style>
  <w:style w:type="character" w:customStyle="1" w:styleId="BalloonTextChar">
    <w:name w:val="Balloon Text Char"/>
    <w:basedOn w:val="DefaultParagraphFont"/>
    <w:link w:val="BalloonText"/>
    <w:rsid w:val="001A2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A7C"/>
    <w:rPr>
      <w:b/>
      <w:color w:val="660033"/>
      <w:spacing w:val="0"/>
    </w:rPr>
  </w:style>
  <w:style w:type="paragraph" w:customStyle="1" w:styleId="Nameditemlist">
    <w:name w:val="Named item list"/>
    <w:basedOn w:val="BodyText"/>
    <w:qFormat/>
    <w:rsid w:val="001A2A7C"/>
    <w:pPr>
      <w:tabs>
        <w:tab w:val="left" w:pos="2835"/>
      </w:tabs>
      <w:ind w:left="2835" w:hanging="2835"/>
    </w:pPr>
  </w:style>
  <w:style w:type="paragraph" w:customStyle="1" w:styleId="BodyTextnopadding">
    <w:name w:val="Body Text no padding"/>
    <w:basedOn w:val="BodyText"/>
    <w:qFormat/>
    <w:rsid w:val="001A2A7C"/>
    <w:pPr>
      <w:spacing w:before="0" w:after="0"/>
    </w:pPr>
  </w:style>
  <w:style w:type="paragraph" w:customStyle="1" w:styleId="BodyTextBold">
    <w:name w:val="Body Text Bold"/>
    <w:basedOn w:val="BodyText"/>
    <w:qFormat/>
    <w:rsid w:val="001A2A7C"/>
    <w:rPr>
      <w:b/>
    </w:rPr>
  </w:style>
  <w:style w:type="character" w:styleId="Hyperlink">
    <w:name w:val="Hyperlink"/>
    <w:basedOn w:val="DefaultParagraphFont"/>
    <w:uiPriority w:val="99"/>
    <w:unhideWhenUsed/>
    <w:rsid w:val="00A85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5159</Characters>
  <Application>Microsoft Office Word</Application>
  <DocSecurity>0</DocSecurity>
  <Lines>151</Lines>
  <Paragraphs>134</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HLTPHA008 Support pharmacist communication with clients and other health professionals</dc:title>
  <dc:subject>Approved</dc:subject>
  <dc:creator>SkillsIQ</dc:creator>
  <cp:keywords>Release: 1</cp:keywords>
  <dc:description>Review Date: 12 April 2008</dc:description>
  <cp:lastModifiedBy>HSD_TPCMSd.prod</cp:lastModifiedBy>
  <cp:revision>3</cp:revision>
  <dcterms:created xsi:type="dcterms:W3CDTF">2022-04-08T08:48:00Z</dcterms:created>
  <dcterms:modified xsi:type="dcterms:W3CDTF">2022-04-08T08:48:00Z</dcterms:modified>
</cp:coreProperties>
</file>