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327C" w:rsidP="005F327C">
      <w:pPr>
        <w:pStyle w:val="Title"/>
      </w:pPr>
      <w:r>
        <w:fldChar w:fldCharType="begin"/>
      </w:r>
      <w:r>
        <w:instrText xml:space="preserve"> TITLE   \* MERGEFORMAT </w:instrText>
      </w:r>
      <w:r>
        <w:fldChar w:fldCharType="separate"/>
      </w:r>
      <w:r>
        <w:t>HLTPHA007 Conduct small-scale compounding and labelling of aseptic pharmaceutical products</w:t>
      </w:r>
      <w:r>
        <w:fldChar w:fldCharType="end"/>
      </w:r>
    </w:p>
    <w:p w:rsidR="005F327C" w:rsidP="005F327C">
      <w:pPr>
        <w:pStyle w:val="Version"/>
        <w:sectPr w:rsidSect="00DB15D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B15D6" w:rsidP="00DB15D6">
      <w:pPr>
        <w:pStyle w:val="SuperHeading"/>
      </w:pPr>
      <w:r w:rsidRPr="00DB15D6">
        <w:t>HLTPHA007 Conduct small-scale compounding and labelling of aseptic pharmaceutical products</w:t>
      </w:r>
    </w:p>
    <w:p w:rsidR="00000000" w:rsidRPr="00DB15D6" w:rsidP="00DB15D6">
      <w:pPr>
        <w:pStyle w:val="Heading1"/>
      </w:pPr>
      <w:bookmarkStart w:id="1" w:name="O_657251"/>
      <w:bookmarkEnd w:id="1"/>
      <w:r w:rsidRPr="00DB15D6">
        <w:t>Modification History</w:t>
      </w:r>
    </w:p>
    <w:tbl>
      <w:tblPr>
        <w:tblW w:w="0" w:type="auto"/>
        <w:tblLayout w:type="fixed"/>
        <w:tblCellMar>
          <w:left w:w="62" w:type="dxa"/>
          <w:right w:w="62" w:type="dxa"/>
        </w:tblCellMar>
        <w:tblLook w:val="0000"/>
      </w:tblPr>
      <w:tblGrid>
        <w:gridCol w:w="2790"/>
        <w:gridCol w:w="6344"/>
      </w:tblGrid>
      <w:tr w:rsidTr="00DB15D6">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15D6" w:rsidP="00DB15D6">
            <w:pPr>
              <w:pStyle w:val="BodyText"/>
            </w:pPr>
            <w:r w:rsidRPr="00DB15D6">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D6">
            <w:pPr>
              <w:pStyle w:val="BodyText"/>
              <w:rPr>
                <w:lang w:val="en-NZ"/>
              </w:rPr>
            </w:pPr>
            <w:r w:rsidRPr="00DB15D6">
              <w:rPr>
                <w:rStyle w:val="SpecialBold"/>
              </w:rPr>
              <w:t>Comments</w:t>
            </w:r>
          </w:p>
        </w:tc>
      </w:tr>
      <w:tr w:rsidTr="00DB15D6">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D6">
            <w:pPr>
              <w:pStyle w:val="BodyText"/>
              <w:rPr>
                <w:lang w:val="en-NZ"/>
              </w:rPr>
            </w:pPr>
            <w:r w:rsidRPr="00DB15D6">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15D6" w:rsidP="00DB15D6">
            <w:pPr>
              <w:pStyle w:val="BodyText"/>
            </w:pPr>
            <w:r w:rsidRPr="00DB15D6">
              <w:t xml:space="preserve">This version was released in </w:t>
            </w:r>
            <w:r w:rsidRPr="00DB15D6">
              <w:rPr>
                <w:rStyle w:val="Emphasis"/>
              </w:rPr>
              <w:t>HLT Health Training Package release 2.0</w:t>
            </w:r>
            <w:r w:rsidRPr="00DB15D6">
              <w:t xml:space="preserve"> and meets the requirements of the 2012 Standards for Training Packages.</w:t>
            </w:r>
          </w:p>
          <w:p w:rsidR="00000000" w:rsidRPr="00DB15D6" w:rsidP="00DB15D6">
            <w:pPr>
              <w:pStyle w:val="BodyText"/>
            </w:pPr>
            <w:r w:rsidRPr="00DB15D6">
              <w:t>Minimal changes to the elements and performance criteria. New evidence requirements for assessment, including volume and frequency. Significant changes to knowledge evidence.</w:t>
            </w:r>
          </w:p>
        </w:tc>
      </w:tr>
    </w:tbl>
    <w:p w:rsidR="005F327C" w:rsidP="00DB15D6">
      <w:pPr>
        <w:pStyle w:val="BodyText"/>
      </w:pPr>
    </w:p>
    <w:p w:rsidR="005F327C" w:rsidP="00DB15D6">
      <w:pPr>
        <w:pStyle w:val="BodyText"/>
      </w:pPr>
    </w:p>
    <w:p w:rsidR="00000000" w:rsidRPr="00DB15D6" w:rsidP="00DB15D6">
      <w:pPr>
        <w:pStyle w:val="Heading1"/>
      </w:pPr>
      <w:bookmarkStart w:id="2" w:name="O_657252"/>
      <w:bookmarkEnd w:id="2"/>
      <w:r w:rsidRPr="00DB15D6">
        <w:t>Application</w:t>
      </w:r>
    </w:p>
    <w:p w:rsidR="00000000" w:rsidRPr="00DB15D6" w:rsidP="005F327C">
      <w:pPr>
        <w:pStyle w:val="BodyText"/>
      </w:pPr>
      <w:r w:rsidRPr="00DB15D6">
        <w:t>This unit describes the skills and knowledge required to complete small scale compounding of sterile pharmaceutical products from pre-determined formulae, including extemporaneous dispensing. This includes cytotoxic and total parent</w:t>
      </w:r>
      <w:r w:rsidRPr="00DB15D6">
        <w:t>al nutrition (TPN) products.</w:t>
      </w:r>
    </w:p>
    <w:p w:rsidR="00000000" w:rsidRPr="00DB15D6" w:rsidP="005F327C">
      <w:pPr>
        <w:pStyle w:val="BodyText"/>
      </w:pPr>
      <w:r w:rsidRPr="00DB15D6">
        <w:t>This unit applies to pharmacy assistants and technicians working under the supervision of a pharmacist.</w:t>
      </w:r>
    </w:p>
    <w:p w:rsidR="005F327C" w:rsidRPr="005F327C" w:rsidP="005F327C">
      <w:pPr>
        <w:pStyle w:val="BodyText"/>
        <w:rPr>
          <w:i/>
        </w:rPr>
      </w:pPr>
      <w:r w:rsidRPr="005F327C">
        <w:rPr>
          <w:rStyle w:val="Emphasis"/>
        </w:rPr>
        <w:t>The skills in this unit must be applied in accordance with Commonwealth and State/Territory legislation, Australian/New Z</w:t>
      </w:r>
      <w:r w:rsidRPr="005F327C">
        <w:rPr>
          <w:rStyle w:val="Emphasis"/>
        </w:rPr>
        <w:t>ealand standards and industry codes of practice</w:t>
      </w:r>
    </w:p>
    <w:p w:rsidR="00000000" w:rsidRPr="00DB15D6" w:rsidP="00DB15D6">
      <w:pPr>
        <w:pStyle w:val="Heading1"/>
      </w:pPr>
      <w:bookmarkStart w:id="3" w:name="O_657256"/>
      <w:bookmarkEnd w:id="3"/>
      <w:r w:rsidRPr="00DB15D6">
        <w:t>Elements and Performance Criteria</w:t>
      </w:r>
    </w:p>
    <w:tbl>
      <w:tblPr>
        <w:tblW w:w="0" w:type="auto"/>
        <w:tblLayout w:type="fixed"/>
        <w:tblCellMar>
          <w:left w:w="62" w:type="dxa"/>
          <w:right w:w="62" w:type="dxa"/>
        </w:tblCellMar>
        <w:tblLook w:val="0000"/>
      </w:tblPr>
      <w:tblGrid>
        <w:gridCol w:w="3261"/>
        <w:gridCol w:w="5702"/>
      </w:tblGrid>
      <w:tr w:rsidTr="00DB15D6">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DB15D6" w:rsidP="00DB15D6">
            <w:pPr>
              <w:pStyle w:val="BodyText"/>
            </w:pPr>
            <w:r w:rsidRPr="00DB15D6">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DB15D6">
            <w:pPr>
              <w:pStyle w:val="BodyText"/>
              <w:rPr>
                <w:lang w:val="en-NZ"/>
              </w:rPr>
            </w:pPr>
            <w:r w:rsidRPr="00DB15D6">
              <w:rPr>
                <w:rStyle w:val="SpecialBold"/>
              </w:rPr>
              <w:t>PERFORMANCE CRITERIA</w:t>
            </w:r>
          </w:p>
        </w:tc>
      </w:tr>
      <w:tr w:rsidTr="00DB15D6">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DB15D6" w:rsidP="00DB15D6">
            <w:pPr>
              <w:pStyle w:val="BodyText"/>
            </w:pPr>
            <w:r w:rsidRPr="00DB15D6">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DB15D6">
            <w:pPr>
              <w:pStyle w:val="BodyText"/>
              <w:rPr>
                <w:lang w:val="en-NZ"/>
              </w:rPr>
            </w:pPr>
            <w:r w:rsidRPr="00DB15D6">
              <w:rPr>
                <w:rStyle w:val="Emphasis"/>
              </w:rPr>
              <w:t>Performance criteria describe the performance needed to demonstrate achievement of the element</w:t>
            </w:r>
          </w:p>
        </w:tc>
      </w:tr>
      <w:tr w:rsidTr="00DB15D6">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DB15D6">
            <w:pPr>
              <w:pStyle w:val="BodyText"/>
              <w:rPr>
                <w:lang w:val="en-NZ"/>
              </w:rPr>
            </w:pPr>
            <w:r w:rsidRPr="00DB15D6">
              <w:t>1. Source information</w:t>
            </w:r>
            <w:r w:rsidRPr="00DB15D6">
              <w:rPr>
                <w:rStyle w:val="Emphasis"/>
              </w:rPr>
              <w:t xml:space="preserve"> </w:t>
            </w:r>
            <w:r w:rsidRPr="00DB15D6">
              <w:t>on formula</w:t>
            </w:r>
          </w:p>
        </w:tc>
        <w:tc>
          <w:tcPr>
            <w:tcW w:w="5702" w:type="dxa"/>
            <w:tcBorders>
              <w:top w:val="nil"/>
              <w:left w:val="nil"/>
              <w:bottom w:val="nil"/>
              <w:right w:val="nil"/>
            </w:tcBorders>
            <w:tcMar>
              <w:top w:w="0" w:type="dxa"/>
              <w:left w:w="62" w:type="dxa"/>
              <w:bottom w:w="0" w:type="dxa"/>
              <w:right w:w="62" w:type="dxa"/>
            </w:tcMar>
          </w:tcPr>
          <w:p w:rsidR="00000000" w:rsidRPr="00DB15D6" w:rsidP="00DB15D6">
            <w:pPr>
              <w:pStyle w:val="BodyText"/>
            </w:pPr>
            <w:r w:rsidRPr="00DB15D6">
              <w:t>1.1 Select appropriate formula and master work sheet for the product, based on correct interpretation of the prescription or me</w:t>
            </w:r>
            <w:r w:rsidRPr="00DB15D6">
              <w:t xml:space="preserve">dication order </w:t>
            </w:r>
          </w:p>
          <w:p w:rsidR="00000000" w:rsidRPr="00DB15D6" w:rsidP="00DB15D6">
            <w:pPr>
              <w:pStyle w:val="BodyText"/>
            </w:pPr>
            <w:r w:rsidRPr="00DB15D6">
              <w:t>1.2 Confirm suitability of chosen master work sheet and availability of resources</w:t>
            </w:r>
          </w:p>
          <w:p w:rsidR="00000000" w:rsidP="00DB15D6">
            <w:pPr>
              <w:pStyle w:val="BodyText"/>
              <w:rPr>
                <w:lang w:val="en-NZ"/>
              </w:rPr>
            </w:pPr>
            <w:r w:rsidRPr="00DB15D6">
              <w:t>1.3 Obtain authority of pharmacist to proceed</w:t>
            </w:r>
          </w:p>
        </w:tc>
      </w:tr>
      <w:tr w:rsidTr="00DB15D6">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B15D6">
            <w:pPr>
              <w:pStyle w:val="BodyText"/>
              <w:rPr>
                <w:lang w:val="en-NZ"/>
              </w:rPr>
            </w:pPr>
          </w:p>
        </w:tc>
      </w:tr>
      <w:tr w:rsidTr="00DB15D6">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DB15D6">
            <w:pPr>
              <w:pStyle w:val="BodyText"/>
              <w:rPr>
                <w:lang w:val="en-NZ"/>
              </w:rPr>
            </w:pPr>
            <w:r w:rsidRPr="00DB15D6">
              <w:t>2. Prepare for production process</w:t>
            </w:r>
          </w:p>
        </w:tc>
        <w:tc>
          <w:tcPr>
            <w:tcW w:w="5702" w:type="dxa"/>
            <w:tcBorders>
              <w:top w:val="nil"/>
              <w:left w:val="nil"/>
              <w:bottom w:val="nil"/>
              <w:right w:val="nil"/>
            </w:tcBorders>
            <w:tcMar>
              <w:top w:w="0" w:type="dxa"/>
              <w:left w:w="62" w:type="dxa"/>
              <w:bottom w:w="0" w:type="dxa"/>
              <w:right w:w="62" w:type="dxa"/>
            </w:tcMar>
          </w:tcPr>
          <w:p w:rsidR="00000000" w:rsidRPr="00DB15D6" w:rsidP="00DB15D6">
            <w:pPr>
              <w:pStyle w:val="BodyText"/>
            </w:pPr>
            <w:r w:rsidRPr="00DB15D6">
              <w:t>2.1 Confirm the availability of the appropriate laminar flow hood/clean ro</w:t>
            </w:r>
            <w:r w:rsidRPr="00DB15D6">
              <w:t>om or cytotoxic drug safety cabinet/cytotoxic suite or room or isolator required to compound the product according to the work sheet</w:t>
            </w:r>
          </w:p>
          <w:p w:rsidR="00000000" w:rsidRPr="00DB15D6" w:rsidP="00DB15D6">
            <w:pPr>
              <w:pStyle w:val="BodyText"/>
            </w:pPr>
            <w:r w:rsidRPr="00DB15D6">
              <w:t>2.2 Comply with dress code, safety and personal hygiene procedures prior to entering the work area</w:t>
            </w:r>
          </w:p>
          <w:p w:rsidR="00000000" w:rsidRPr="00DB15D6" w:rsidP="00DB15D6">
            <w:pPr>
              <w:pStyle w:val="BodyText"/>
            </w:pPr>
            <w:r w:rsidRPr="00DB15D6">
              <w:t>2.3 Clean work area and equipment correctly</w:t>
            </w:r>
          </w:p>
          <w:p w:rsidR="00000000" w:rsidRPr="00DB15D6" w:rsidP="00DB15D6">
            <w:pPr>
              <w:pStyle w:val="BodyText"/>
            </w:pPr>
            <w:r w:rsidRPr="00DB15D6">
              <w:t>2.4 Maintain inventory levels of materials and disposable equipment</w:t>
            </w:r>
          </w:p>
          <w:p w:rsidR="00000000" w:rsidRPr="00DB15D6" w:rsidP="00DB15D6">
            <w:pPr>
              <w:pStyle w:val="BodyText"/>
            </w:pPr>
            <w:r w:rsidRPr="00DB15D6">
              <w:t>2.5 Prepare a work sheet referenced from a</w:t>
            </w:r>
            <w:r w:rsidRPr="00DB15D6">
              <w:rPr>
                <w:rStyle w:val="Emphasis"/>
              </w:rPr>
              <w:t xml:space="preserve"> </w:t>
            </w:r>
            <w:r w:rsidRPr="00DB15D6">
              <w:t>master work sheet</w:t>
            </w:r>
          </w:p>
          <w:p w:rsidR="00000000" w:rsidRPr="00DB15D6" w:rsidP="00DB15D6">
            <w:pPr>
              <w:pStyle w:val="BodyText"/>
            </w:pPr>
            <w:r w:rsidRPr="00DB15D6">
              <w:t>2.6 Assign product batch number</w:t>
            </w:r>
          </w:p>
          <w:p w:rsidR="00000000" w:rsidRPr="00DB15D6" w:rsidP="00DB15D6">
            <w:pPr>
              <w:pStyle w:val="BodyText"/>
            </w:pPr>
            <w:r w:rsidRPr="00DB15D6">
              <w:t>2.7 Verify that the work sheets are clearly written</w:t>
            </w:r>
            <w:r w:rsidRPr="00DB15D6">
              <w:t xml:space="preserve"> in logical order with clear directions and contain all the required information</w:t>
            </w:r>
          </w:p>
          <w:p w:rsidR="00000000" w:rsidRPr="00DB15D6" w:rsidP="00DB15D6">
            <w:pPr>
              <w:pStyle w:val="BodyText"/>
            </w:pPr>
            <w:r w:rsidRPr="00DB15D6">
              <w:t>2.8 Generate the product labels referenced from the master label detailed on the master work sheet</w:t>
            </w:r>
          </w:p>
          <w:p w:rsidR="00000000" w:rsidRPr="00DB15D6" w:rsidP="00DB15D6">
            <w:pPr>
              <w:pStyle w:val="BodyText"/>
            </w:pPr>
            <w:r w:rsidRPr="00DB15D6">
              <w:t>2.9 Check and note the number of labels generated</w:t>
            </w:r>
          </w:p>
          <w:p w:rsidR="00000000" w:rsidRPr="00DB15D6" w:rsidP="00DB15D6">
            <w:pPr>
              <w:pStyle w:val="BodyText"/>
            </w:pPr>
            <w:r w:rsidRPr="00DB15D6">
              <w:t>2.10 Submit work sheet and</w:t>
            </w:r>
            <w:r w:rsidRPr="00DB15D6">
              <w:t xml:space="preserve"> labels to pharmacist for approval</w:t>
            </w:r>
          </w:p>
          <w:p w:rsidR="00000000" w:rsidP="00DB15D6">
            <w:pPr>
              <w:pStyle w:val="BodyText"/>
              <w:rPr>
                <w:lang w:val="en-NZ"/>
              </w:rPr>
            </w:pPr>
            <w:r w:rsidRPr="00DB15D6">
              <w:t>2.11 Check and set up compounding requirements and disposable equipment</w:t>
            </w:r>
          </w:p>
        </w:tc>
      </w:tr>
      <w:tr w:rsidTr="00DB15D6">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B15D6">
            <w:pPr>
              <w:pStyle w:val="BodyText"/>
              <w:rPr>
                <w:lang w:val="en-NZ"/>
              </w:rPr>
            </w:pPr>
          </w:p>
        </w:tc>
      </w:tr>
      <w:tr w:rsidTr="00DB15D6">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DB15D6">
            <w:pPr>
              <w:pStyle w:val="BodyText"/>
              <w:rPr>
                <w:lang w:val="en-NZ"/>
              </w:rPr>
            </w:pPr>
            <w:r w:rsidRPr="00DB15D6">
              <w:t xml:space="preserve">3. Obtain equipment and supplies </w:t>
            </w:r>
          </w:p>
        </w:tc>
        <w:tc>
          <w:tcPr>
            <w:tcW w:w="5702" w:type="dxa"/>
            <w:tcBorders>
              <w:top w:val="nil"/>
              <w:left w:val="nil"/>
              <w:bottom w:val="nil"/>
              <w:right w:val="nil"/>
            </w:tcBorders>
            <w:tcMar>
              <w:top w:w="0" w:type="dxa"/>
              <w:left w:w="62" w:type="dxa"/>
              <w:bottom w:w="0" w:type="dxa"/>
              <w:right w:w="62" w:type="dxa"/>
            </w:tcMar>
          </w:tcPr>
          <w:p w:rsidR="00000000" w:rsidRPr="00DB15D6" w:rsidP="00DB15D6">
            <w:pPr>
              <w:pStyle w:val="BodyText"/>
            </w:pPr>
            <w:r w:rsidRPr="00DB15D6">
              <w:t>3.1 Assemble materials used in aseptic compounding as listed in the work sheet, according to stock levels and s</w:t>
            </w:r>
            <w:r w:rsidRPr="00DB15D6">
              <w:t>tock requisitioning procedures</w:t>
            </w:r>
          </w:p>
          <w:p w:rsidR="00000000" w:rsidRPr="00DB15D6" w:rsidP="00DB15D6">
            <w:pPr>
              <w:pStyle w:val="BodyText"/>
            </w:pPr>
            <w:r w:rsidRPr="00DB15D6">
              <w:t>3.2 Check materials to ensure they have been released from quarantine for use by authorised persons</w:t>
            </w:r>
          </w:p>
          <w:p w:rsidR="00000000" w:rsidRPr="00DB15D6" w:rsidP="00DB15D6">
            <w:pPr>
              <w:pStyle w:val="BodyText"/>
            </w:pPr>
            <w:r w:rsidRPr="00DB15D6">
              <w:t>3.3 Verify materials against manufacturing work sheet and record material batch numbers and expiry dates</w:t>
            </w:r>
          </w:p>
          <w:p w:rsidR="00000000" w:rsidRPr="00DB15D6" w:rsidP="00DB15D6">
            <w:pPr>
              <w:pStyle w:val="BodyText"/>
            </w:pPr>
            <w:r w:rsidRPr="00DB15D6">
              <w:t>3.4 Select appropria</w:t>
            </w:r>
            <w:r w:rsidRPr="00DB15D6">
              <w:t>te types, size and features of containers and packaging listed in the work sheet</w:t>
            </w:r>
          </w:p>
          <w:p w:rsidR="00000000" w:rsidRPr="00DB15D6" w:rsidP="00DB15D6">
            <w:pPr>
              <w:pStyle w:val="BodyText"/>
            </w:pPr>
            <w:r w:rsidRPr="00DB15D6">
              <w:t>3.5 Weigh or measure materials in designated area</w:t>
            </w:r>
          </w:p>
          <w:p w:rsidR="00000000" w:rsidP="00DB15D6">
            <w:pPr>
              <w:pStyle w:val="BodyText"/>
              <w:rPr>
                <w:lang w:val="en-NZ"/>
              </w:rPr>
            </w:pPr>
            <w:r w:rsidRPr="00DB15D6">
              <w:t>3.6 Obtain required authorisation or checks at designated points according to the work sheet</w:t>
            </w:r>
          </w:p>
        </w:tc>
      </w:tr>
      <w:tr w:rsidTr="00DB15D6">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B15D6">
            <w:pPr>
              <w:pStyle w:val="BodyText"/>
              <w:rPr>
                <w:lang w:val="en-NZ"/>
              </w:rPr>
            </w:pPr>
          </w:p>
        </w:tc>
      </w:tr>
      <w:tr w:rsidTr="00DB15D6">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DB15D6">
            <w:pPr>
              <w:pStyle w:val="BodyText"/>
              <w:rPr>
                <w:lang w:val="en-NZ"/>
              </w:rPr>
            </w:pPr>
            <w:r w:rsidRPr="00DB15D6">
              <w:t>4. Prepare f</w:t>
            </w:r>
            <w:r w:rsidRPr="00DB15D6">
              <w:t>or sterile manufacturing</w:t>
            </w:r>
          </w:p>
        </w:tc>
        <w:tc>
          <w:tcPr>
            <w:tcW w:w="5702" w:type="dxa"/>
            <w:tcBorders>
              <w:top w:val="nil"/>
              <w:left w:val="nil"/>
              <w:bottom w:val="nil"/>
              <w:right w:val="nil"/>
            </w:tcBorders>
            <w:tcMar>
              <w:top w:w="0" w:type="dxa"/>
              <w:left w:w="62" w:type="dxa"/>
              <w:bottom w:w="0" w:type="dxa"/>
              <w:right w:w="62" w:type="dxa"/>
            </w:tcMar>
          </w:tcPr>
          <w:p w:rsidR="00000000" w:rsidRPr="00DB15D6" w:rsidP="00DB15D6">
            <w:pPr>
              <w:pStyle w:val="BodyText"/>
            </w:pPr>
            <w:r w:rsidRPr="00DB15D6">
              <w:t>4.1 Transfer raw materials, disposable equipment, required containers or packaging and covered work sheet to pre-production area</w:t>
            </w:r>
          </w:p>
          <w:p w:rsidR="00000000" w:rsidRPr="00DB15D6" w:rsidP="00DB15D6">
            <w:pPr>
              <w:pStyle w:val="BodyText"/>
            </w:pPr>
            <w:r w:rsidRPr="00DB15D6">
              <w:t>4.2 Follow hand washing, gowning and gloving procedures</w:t>
            </w:r>
          </w:p>
          <w:p w:rsidR="00000000" w:rsidP="00DB15D6">
            <w:pPr>
              <w:pStyle w:val="BodyText"/>
              <w:rPr>
                <w:lang w:val="en-NZ"/>
              </w:rPr>
            </w:pPr>
            <w:r w:rsidRPr="00DB15D6">
              <w:t>4.3 Disinfect and transfer materials, disposab</w:t>
            </w:r>
            <w:r w:rsidRPr="00DB15D6">
              <w:t>le equipment and work sheet to sterile production area</w:t>
            </w:r>
          </w:p>
        </w:tc>
      </w:tr>
      <w:tr w:rsidTr="00DB15D6">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DB15D6">
            <w:pPr>
              <w:pStyle w:val="BodyText"/>
              <w:rPr>
                <w:lang w:val="en-NZ"/>
              </w:rPr>
            </w:pPr>
          </w:p>
        </w:tc>
        <w:tc>
          <w:tcPr>
            <w:tcW w:w="5702" w:type="dxa"/>
            <w:tcBorders>
              <w:top w:val="nil"/>
              <w:left w:val="nil"/>
              <w:bottom w:val="nil"/>
              <w:right w:val="nil"/>
            </w:tcBorders>
            <w:tcMar>
              <w:top w:w="0" w:type="dxa"/>
              <w:left w:w="62" w:type="dxa"/>
              <w:bottom w:w="0" w:type="dxa"/>
              <w:right w:w="62" w:type="dxa"/>
            </w:tcMar>
          </w:tcPr>
          <w:p w:rsidR="00000000" w:rsidP="00DB15D6">
            <w:pPr>
              <w:pStyle w:val="ListContinue"/>
              <w:rPr>
                <w:lang w:val="en-NZ"/>
              </w:rPr>
            </w:pPr>
          </w:p>
        </w:tc>
      </w:tr>
      <w:tr w:rsidTr="00DB15D6">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DB15D6">
            <w:pPr>
              <w:pStyle w:val="BodyText"/>
              <w:rPr>
                <w:lang w:val="en-NZ"/>
              </w:rPr>
            </w:pPr>
            <w:r w:rsidRPr="00DB15D6">
              <w:t>5. Prepare for cytotoxic production</w:t>
            </w:r>
          </w:p>
        </w:tc>
        <w:tc>
          <w:tcPr>
            <w:tcW w:w="5702" w:type="dxa"/>
            <w:tcBorders>
              <w:top w:val="nil"/>
              <w:left w:val="nil"/>
              <w:bottom w:val="nil"/>
              <w:right w:val="nil"/>
            </w:tcBorders>
            <w:tcMar>
              <w:top w:w="0" w:type="dxa"/>
              <w:left w:w="62" w:type="dxa"/>
              <w:bottom w:w="0" w:type="dxa"/>
              <w:right w:w="62" w:type="dxa"/>
            </w:tcMar>
          </w:tcPr>
          <w:p w:rsidR="00000000" w:rsidRPr="00DB15D6" w:rsidP="00DB15D6">
            <w:pPr>
              <w:pStyle w:val="BodyText"/>
            </w:pPr>
            <w:r w:rsidRPr="00DB15D6">
              <w:t>5.1 Check that cytotoxic spill cleaning kits are available in all production areas</w:t>
            </w:r>
          </w:p>
          <w:p w:rsidR="00000000" w:rsidRPr="00DB15D6" w:rsidP="00DB15D6">
            <w:pPr>
              <w:pStyle w:val="BodyText"/>
            </w:pPr>
            <w:r w:rsidRPr="00DB15D6">
              <w:t>5.2 Select and use appropriate sterile personal protective equipment for safe</w:t>
            </w:r>
            <w:r w:rsidRPr="00DB15D6">
              <w:t xml:space="preserve"> handling and preparation of cytotoxic drugs as required</w:t>
            </w:r>
          </w:p>
          <w:p w:rsidR="00000000" w:rsidP="00DB15D6">
            <w:pPr>
              <w:pStyle w:val="BodyText"/>
              <w:rPr>
                <w:lang w:val="en-NZ"/>
              </w:rPr>
            </w:pPr>
            <w:r w:rsidRPr="00DB15D6">
              <w:t>5.3 Follow specific procedures to minimise risk of exposure to cytotoxic drugs</w:t>
            </w:r>
          </w:p>
        </w:tc>
      </w:tr>
      <w:tr w:rsidTr="00DB15D6">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DB15D6">
            <w:pPr>
              <w:pStyle w:val="BodyText"/>
              <w:rPr>
                <w:lang w:val="en-NZ"/>
              </w:rPr>
            </w:pPr>
          </w:p>
        </w:tc>
        <w:tc>
          <w:tcPr>
            <w:tcW w:w="5702" w:type="dxa"/>
            <w:tcBorders>
              <w:top w:val="nil"/>
              <w:left w:val="nil"/>
              <w:bottom w:val="nil"/>
              <w:right w:val="nil"/>
            </w:tcBorders>
            <w:tcMar>
              <w:top w:w="0" w:type="dxa"/>
              <w:left w:w="62" w:type="dxa"/>
              <w:bottom w:w="0" w:type="dxa"/>
              <w:right w:w="62" w:type="dxa"/>
            </w:tcMar>
          </w:tcPr>
          <w:p w:rsidR="00000000" w:rsidP="00DB15D6">
            <w:pPr>
              <w:pStyle w:val="ListContinue"/>
              <w:rPr>
                <w:lang w:val="en-NZ"/>
              </w:rPr>
            </w:pPr>
          </w:p>
        </w:tc>
      </w:tr>
      <w:tr w:rsidTr="00DB15D6">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DB15D6">
            <w:pPr>
              <w:pStyle w:val="BodyText"/>
              <w:rPr>
                <w:lang w:val="en-NZ"/>
              </w:rPr>
            </w:pPr>
            <w:r w:rsidRPr="00DB15D6">
              <w:t>6. Compound products using aseptic techniques</w:t>
            </w:r>
          </w:p>
        </w:tc>
        <w:tc>
          <w:tcPr>
            <w:tcW w:w="5702" w:type="dxa"/>
            <w:tcBorders>
              <w:top w:val="nil"/>
              <w:left w:val="nil"/>
              <w:bottom w:val="nil"/>
              <w:right w:val="nil"/>
            </w:tcBorders>
            <w:tcMar>
              <w:top w:w="0" w:type="dxa"/>
              <w:left w:w="62" w:type="dxa"/>
              <w:bottom w:w="0" w:type="dxa"/>
              <w:right w:w="62" w:type="dxa"/>
            </w:tcMar>
          </w:tcPr>
          <w:p w:rsidR="00000000" w:rsidRPr="00DB15D6" w:rsidP="00DB15D6">
            <w:pPr>
              <w:pStyle w:val="BodyText"/>
            </w:pPr>
            <w:r w:rsidRPr="00DB15D6">
              <w:t>6.1 Allocate approved bulk materials, intermediary products and containers to appropriate equipment</w:t>
            </w:r>
          </w:p>
          <w:p w:rsidR="00000000" w:rsidRPr="00DB15D6" w:rsidP="00DB15D6">
            <w:pPr>
              <w:pStyle w:val="BodyText"/>
            </w:pPr>
            <w:r w:rsidRPr="00DB15D6">
              <w:t>6.2 Incorporate materials according to work sheet using appropriate manipulation technique</w:t>
            </w:r>
          </w:p>
          <w:p w:rsidR="00000000" w:rsidRPr="00DB15D6" w:rsidP="00DB15D6">
            <w:pPr>
              <w:pStyle w:val="BodyText"/>
            </w:pPr>
            <w:r w:rsidRPr="00DB15D6">
              <w:t>6.3 Compound product according to method on manufacturing work sh</w:t>
            </w:r>
            <w:r w:rsidRPr="00DB15D6">
              <w:t>eet</w:t>
            </w:r>
          </w:p>
          <w:p w:rsidR="00000000" w:rsidRPr="00DB15D6" w:rsidP="00DB15D6">
            <w:pPr>
              <w:pStyle w:val="BodyText"/>
            </w:pPr>
            <w:r w:rsidRPr="00DB15D6">
              <w:t>6.4 Prepare cytotoxic products using procedures for safe handling of cytotoxic drugs</w:t>
            </w:r>
          </w:p>
          <w:p w:rsidR="00000000" w:rsidRPr="00DB15D6" w:rsidP="00DB15D6">
            <w:pPr>
              <w:pStyle w:val="BodyText"/>
            </w:pPr>
            <w:r w:rsidRPr="00DB15D6">
              <w:t>6.5 Operate specialist equipment and use specialist supplies in sterile production preparation</w:t>
            </w:r>
          </w:p>
          <w:p w:rsidR="00000000" w:rsidRPr="00DB15D6" w:rsidP="00DB15D6">
            <w:pPr>
              <w:pStyle w:val="BodyText"/>
            </w:pPr>
            <w:r w:rsidRPr="00DB15D6">
              <w:t>6.6 Perform verification procedures and inspect finished product for dev</w:t>
            </w:r>
            <w:r w:rsidRPr="00DB15D6">
              <w:t>iations and report to authorised person</w:t>
            </w:r>
          </w:p>
          <w:p w:rsidR="00000000" w:rsidRPr="00DB15D6" w:rsidP="00DB15D6">
            <w:pPr>
              <w:pStyle w:val="BodyText"/>
            </w:pPr>
            <w:r w:rsidRPr="00DB15D6">
              <w:t>6.7 Pack compounded product into appropriate container as specified on the work sheet, and following approval from an authorised person</w:t>
            </w:r>
          </w:p>
          <w:p w:rsidR="00000000" w:rsidRPr="00DB15D6" w:rsidP="00DB15D6">
            <w:pPr>
              <w:pStyle w:val="BodyText"/>
            </w:pPr>
            <w:r w:rsidRPr="00DB15D6">
              <w:t>6.8 Label containers according to labelling specifications on the work sheet</w:t>
            </w:r>
          </w:p>
          <w:p w:rsidR="00000000" w:rsidP="00DB15D6">
            <w:pPr>
              <w:pStyle w:val="BodyText"/>
              <w:rPr>
                <w:lang w:val="en-NZ"/>
              </w:rPr>
            </w:pPr>
            <w:r w:rsidRPr="00DB15D6">
              <w:t>6.9</w:t>
            </w:r>
            <w:r w:rsidRPr="00DB15D6">
              <w:t xml:space="preserve"> Obtain required authorisation or checks at designated points</w:t>
            </w:r>
          </w:p>
        </w:tc>
      </w:tr>
      <w:tr w:rsidTr="00DB15D6">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DB15D6">
            <w:pPr>
              <w:pStyle w:val="BodyText"/>
              <w:rPr>
                <w:lang w:val="en-NZ"/>
              </w:rPr>
            </w:pPr>
          </w:p>
        </w:tc>
        <w:tc>
          <w:tcPr>
            <w:tcW w:w="5702" w:type="dxa"/>
            <w:tcBorders>
              <w:top w:val="nil"/>
              <w:left w:val="nil"/>
              <w:bottom w:val="nil"/>
              <w:right w:val="nil"/>
            </w:tcBorders>
            <w:tcMar>
              <w:top w:w="0" w:type="dxa"/>
              <w:left w:w="62" w:type="dxa"/>
              <w:bottom w:w="0" w:type="dxa"/>
              <w:right w:w="62" w:type="dxa"/>
            </w:tcMar>
          </w:tcPr>
          <w:p w:rsidR="00000000" w:rsidP="00DB15D6">
            <w:pPr>
              <w:pStyle w:val="ListContinue"/>
              <w:rPr>
                <w:lang w:val="en-NZ"/>
              </w:rPr>
            </w:pPr>
          </w:p>
        </w:tc>
      </w:tr>
      <w:tr w:rsidTr="00DB15D6">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DB15D6">
            <w:pPr>
              <w:pStyle w:val="BodyText"/>
              <w:rPr>
                <w:lang w:val="en-NZ"/>
              </w:rPr>
            </w:pPr>
            <w:r w:rsidRPr="00DB15D6">
              <w:t>7. Complete production process</w:t>
            </w:r>
          </w:p>
        </w:tc>
        <w:tc>
          <w:tcPr>
            <w:tcW w:w="5702" w:type="dxa"/>
            <w:tcBorders>
              <w:top w:val="nil"/>
              <w:left w:val="nil"/>
              <w:bottom w:val="nil"/>
              <w:right w:val="nil"/>
            </w:tcBorders>
            <w:tcMar>
              <w:top w:w="0" w:type="dxa"/>
              <w:left w:w="62" w:type="dxa"/>
              <w:bottom w:w="0" w:type="dxa"/>
              <w:right w:w="62" w:type="dxa"/>
            </w:tcMar>
          </w:tcPr>
          <w:p w:rsidR="00000000" w:rsidRPr="00DB15D6" w:rsidP="00DB15D6">
            <w:pPr>
              <w:pStyle w:val="BodyText"/>
            </w:pPr>
            <w:r w:rsidRPr="00DB15D6">
              <w:t>7.1 Reconcile the number of labels printed with number used and report discrepancies to the pharmacist</w:t>
            </w:r>
          </w:p>
          <w:p w:rsidR="00000000" w:rsidRPr="00DB15D6" w:rsidP="00DB15D6">
            <w:pPr>
              <w:pStyle w:val="BodyText"/>
            </w:pPr>
            <w:r w:rsidRPr="00DB15D6">
              <w:t>7.2 Place product in quarantine</w:t>
            </w:r>
            <w:r w:rsidRPr="00DB15D6">
              <w:rPr>
                <w:rStyle w:val="Emphasis"/>
              </w:rPr>
              <w:t xml:space="preserve"> </w:t>
            </w:r>
            <w:r w:rsidRPr="00DB15D6">
              <w:t>area under appropriate storage conditions</w:t>
            </w:r>
          </w:p>
          <w:p w:rsidR="00000000" w:rsidRPr="00DB15D6" w:rsidP="00DB15D6">
            <w:pPr>
              <w:pStyle w:val="BodyText"/>
            </w:pPr>
            <w:r w:rsidRPr="00DB15D6">
              <w:t>7.3 Clean machinery and manufacturing area and dispose of disposable equipment safely</w:t>
            </w:r>
          </w:p>
          <w:p w:rsidR="00000000" w:rsidRPr="00DB15D6" w:rsidP="00DB15D6">
            <w:pPr>
              <w:pStyle w:val="BodyText"/>
            </w:pPr>
            <w:r w:rsidRPr="00DB15D6">
              <w:t>7.4 Follow procedures for cleaning cytotoxic spills, and exposure to cytotoxic drugs</w:t>
            </w:r>
          </w:p>
          <w:p w:rsidR="00000000" w:rsidRPr="00DB15D6" w:rsidP="00DB15D6">
            <w:pPr>
              <w:pStyle w:val="BodyText"/>
            </w:pPr>
            <w:r w:rsidRPr="00DB15D6">
              <w:t>7.5 Complete required documentation and for</w:t>
            </w:r>
            <w:r w:rsidRPr="00DB15D6">
              <w:t>ward to an authorised person</w:t>
            </w:r>
          </w:p>
          <w:p w:rsidR="00000000" w:rsidRPr="00DB15D6" w:rsidP="00DB15D6">
            <w:pPr>
              <w:pStyle w:val="BodyText"/>
            </w:pPr>
            <w:r w:rsidRPr="00DB15D6">
              <w:t>7.6 Report discrepancies to an authorised person</w:t>
            </w:r>
          </w:p>
          <w:p w:rsidR="00000000" w:rsidRPr="00DB15D6" w:rsidP="00DB15D6">
            <w:pPr>
              <w:pStyle w:val="BodyText"/>
            </w:pPr>
            <w:r w:rsidRPr="00DB15D6">
              <w:t>7.7 Obtain final approval from pharmacist before releasing compounded medicines to storage areas</w:t>
            </w:r>
          </w:p>
          <w:p w:rsidR="00000000" w:rsidP="00DB15D6">
            <w:pPr>
              <w:pStyle w:val="BodyText"/>
              <w:rPr>
                <w:lang w:val="en-NZ"/>
              </w:rPr>
            </w:pPr>
            <w:r w:rsidRPr="00DB15D6">
              <w:t>7.8 Discard waste materials appropriately</w:t>
            </w:r>
          </w:p>
        </w:tc>
      </w:tr>
      <w:tr w:rsidTr="00DB15D6">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DB15D6">
            <w:pPr>
              <w:pStyle w:val="BodyText"/>
              <w:rPr>
                <w:lang w:val="en-NZ"/>
              </w:rPr>
            </w:pPr>
          </w:p>
        </w:tc>
        <w:tc>
          <w:tcPr>
            <w:tcW w:w="5702" w:type="dxa"/>
            <w:tcBorders>
              <w:top w:val="nil"/>
              <w:left w:val="nil"/>
              <w:bottom w:val="nil"/>
              <w:right w:val="nil"/>
            </w:tcBorders>
            <w:tcMar>
              <w:top w:w="0" w:type="dxa"/>
              <w:left w:w="62" w:type="dxa"/>
              <w:bottom w:w="0" w:type="dxa"/>
              <w:right w:w="62" w:type="dxa"/>
            </w:tcMar>
          </w:tcPr>
          <w:p w:rsidR="00000000" w:rsidP="00DB15D6">
            <w:pPr>
              <w:pStyle w:val="ListContinue"/>
              <w:rPr>
                <w:lang w:val="en-NZ"/>
              </w:rPr>
            </w:pPr>
          </w:p>
        </w:tc>
      </w:tr>
      <w:tr w:rsidTr="00DB15D6">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DB15D6">
            <w:pPr>
              <w:pStyle w:val="BodyText"/>
              <w:rPr>
                <w:lang w:val="en-NZ"/>
              </w:rPr>
            </w:pPr>
            <w:r w:rsidRPr="00DB15D6">
              <w:t>8. Participate in quality control</w:t>
            </w:r>
          </w:p>
        </w:tc>
        <w:tc>
          <w:tcPr>
            <w:tcW w:w="5702" w:type="dxa"/>
            <w:tcBorders>
              <w:top w:val="nil"/>
              <w:left w:val="nil"/>
              <w:bottom w:val="nil"/>
              <w:right w:val="nil"/>
            </w:tcBorders>
            <w:tcMar>
              <w:top w:w="0" w:type="dxa"/>
              <w:left w:w="62" w:type="dxa"/>
              <w:bottom w:w="0" w:type="dxa"/>
              <w:right w:w="62" w:type="dxa"/>
            </w:tcMar>
          </w:tcPr>
          <w:p w:rsidR="00000000" w:rsidRPr="00DB15D6" w:rsidP="00DB15D6">
            <w:pPr>
              <w:pStyle w:val="BodyText"/>
            </w:pPr>
            <w:r w:rsidRPr="00DB15D6">
              <w:t>8.1 Pack and label a retention sample and/or quality control sample if specified on the work sheet</w:t>
            </w:r>
          </w:p>
          <w:p w:rsidR="00000000" w:rsidRPr="00DB15D6" w:rsidP="00DB15D6">
            <w:pPr>
              <w:pStyle w:val="BodyText"/>
            </w:pPr>
            <w:r w:rsidRPr="00DB15D6">
              <w:t>8.2 Perform environmental monitoring and report abnormal readings to an authorised person</w:t>
            </w:r>
          </w:p>
          <w:p w:rsidR="00000000" w:rsidRPr="00DB15D6" w:rsidP="00DB15D6">
            <w:pPr>
              <w:pStyle w:val="BodyText"/>
            </w:pPr>
            <w:r w:rsidRPr="00DB15D6">
              <w:t>8.3 Submit product sample and relevant documentation to quality con</w:t>
            </w:r>
            <w:r w:rsidRPr="00DB15D6">
              <w:t>trol</w:t>
            </w:r>
          </w:p>
          <w:p w:rsidR="00000000" w:rsidP="00DB15D6">
            <w:pPr>
              <w:pStyle w:val="BodyText"/>
              <w:rPr>
                <w:lang w:val="en-NZ"/>
              </w:rPr>
            </w:pPr>
            <w:r w:rsidRPr="00DB15D6">
              <w:t>8.4 Record and file product quality control assay results and manufacturing area environmental monitoring results</w:t>
            </w:r>
          </w:p>
        </w:tc>
      </w:tr>
      <w:tr w:rsidTr="00DB15D6">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DB15D6">
            <w:pPr>
              <w:pStyle w:val="BodyText"/>
              <w:rPr>
                <w:lang w:val="en-NZ"/>
              </w:rPr>
            </w:pPr>
          </w:p>
        </w:tc>
        <w:tc>
          <w:tcPr>
            <w:tcW w:w="5702" w:type="dxa"/>
            <w:tcBorders>
              <w:top w:val="nil"/>
              <w:left w:val="nil"/>
              <w:bottom w:val="nil"/>
              <w:right w:val="nil"/>
            </w:tcBorders>
            <w:tcMar>
              <w:top w:w="0" w:type="dxa"/>
              <w:left w:w="62" w:type="dxa"/>
              <w:bottom w:w="0" w:type="dxa"/>
              <w:right w:w="62" w:type="dxa"/>
            </w:tcMar>
          </w:tcPr>
          <w:p w:rsidR="00000000" w:rsidP="00DB15D6">
            <w:pPr>
              <w:pStyle w:val="ListContinue"/>
              <w:rPr>
                <w:lang w:val="en-NZ"/>
              </w:rPr>
            </w:pPr>
          </w:p>
        </w:tc>
      </w:tr>
      <w:tr w:rsidTr="00DB15D6">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DB15D6">
            <w:pPr>
              <w:pStyle w:val="BodyText"/>
              <w:rPr>
                <w:lang w:val="en-NZ"/>
              </w:rPr>
            </w:pPr>
            <w:r w:rsidRPr="00DB15D6">
              <w:t>9. Store and transport released product</w:t>
            </w:r>
          </w:p>
        </w:tc>
        <w:tc>
          <w:tcPr>
            <w:tcW w:w="5702" w:type="dxa"/>
            <w:tcBorders>
              <w:top w:val="nil"/>
              <w:left w:val="nil"/>
              <w:bottom w:val="nil"/>
              <w:right w:val="nil"/>
            </w:tcBorders>
            <w:tcMar>
              <w:top w:w="0" w:type="dxa"/>
              <w:left w:w="62" w:type="dxa"/>
              <w:bottom w:w="0" w:type="dxa"/>
              <w:right w:w="62" w:type="dxa"/>
            </w:tcMar>
          </w:tcPr>
          <w:p w:rsidR="00000000" w:rsidRPr="00DB15D6" w:rsidP="00DB15D6">
            <w:pPr>
              <w:pStyle w:val="BodyText"/>
            </w:pPr>
            <w:r w:rsidRPr="00DB15D6">
              <w:t>9.1 Store products according to the work sheet</w:t>
            </w:r>
          </w:p>
          <w:p w:rsidR="00000000" w:rsidRPr="00DB15D6" w:rsidP="00DB15D6">
            <w:pPr>
              <w:pStyle w:val="BodyText"/>
            </w:pPr>
            <w:r w:rsidRPr="00DB15D6">
              <w:t>9.2 Obtain released product(s) from quarantin</w:t>
            </w:r>
            <w:r w:rsidRPr="00DB15D6">
              <w:t>e store</w:t>
            </w:r>
          </w:p>
          <w:p w:rsidR="00000000" w:rsidRPr="00DB15D6" w:rsidP="00DB15D6">
            <w:pPr>
              <w:pStyle w:val="BodyText"/>
            </w:pPr>
            <w:r w:rsidRPr="00DB15D6">
              <w:t>9.3 Pack released product(s) into delivery containers which will maintain the required ambient conditions for the product</w:t>
            </w:r>
          </w:p>
          <w:p w:rsidR="00000000" w:rsidRPr="00DB15D6" w:rsidP="00DB15D6">
            <w:pPr>
              <w:pStyle w:val="BodyText"/>
            </w:pPr>
            <w:r w:rsidRPr="00DB15D6">
              <w:t>9.4 Deliver product to destination ensuring safe transport of cytotoxic products</w:t>
            </w:r>
          </w:p>
          <w:p w:rsidR="00000000" w:rsidRPr="00DB15D6" w:rsidP="00DB15D6">
            <w:pPr>
              <w:pStyle w:val="BodyText"/>
            </w:pPr>
            <w:r w:rsidRPr="00DB15D6">
              <w:t>9.5 Advise receipting area personnel of stora</w:t>
            </w:r>
            <w:r w:rsidRPr="00DB15D6">
              <w:t>ge requirements</w:t>
            </w:r>
          </w:p>
          <w:p w:rsidR="00000000" w:rsidRPr="00DB15D6" w:rsidP="00DB15D6">
            <w:pPr>
              <w:pStyle w:val="BodyText"/>
            </w:pPr>
            <w:r w:rsidRPr="00DB15D6">
              <w:t>9.6 Complete and file records and/or work sheets</w:t>
            </w:r>
          </w:p>
        </w:tc>
      </w:tr>
    </w:tbl>
    <w:p w:rsidR="005F327C" w:rsidP="00DB15D6">
      <w:pPr>
        <w:pStyle w:val="ListContinue"/>
      </w:pPr>
    </w:p>
    <w:p w:rsidR="005F327C" w:rsidP="00DB15D6">
      <w:pPr>
        <w:pStyle w:val="ListContinue"/>
      </w:pPr>
    </w:p>
    <w:p w:rsidR="00000000" w:rsidRPr="00DB15D6" w:rsidP="00DB15D6">
      <w:pPr>
        <w:pStyle w:val="Heading1"/>
      </w:pPr>
      <w:bookmarkStart w:id="4" w:name="O_657257"/>
      <w:bookmarkEnd w:id="4"/>
      <w:r w:rsidRPr="00DB15D6">
        <w:t>Foundation Skills</w:t>
      </w:r>
    </w:p>
    <w:tbl>
      <w:tblPr>
        <w:tblW w:w="0" w:type="auto"/>
        <w:tblLayout w:type="fixed"/>
        <w:tblCellMar>
          <w:left w:w="62" w:type="dxa"/>
          <w:right w:w="62" w:type="dxa"/>
        </w:tblCellMar>
        <w:tblLook w:val="0000"/>
      </w:tblPr>
      <w:tblGrid>
        <w:gridCol w:w="8749"/>
      </w:tblGrid>
      <w:tr w:rsidTr="00DB15D6">
        <w:tblPrEx>
          <w:tblW w:w="0" w:type="auto"/>
          <w:tblLayout w:type="fixed"/>
          <w:tblCellMar>
            <w:left w:w="62" w:type="dxa"/>
            <w:right w:w="62" w:type="dxa"/>
          </w:tblCellMar>
          <w:tblLook w:val="0000"/>
        </w:tblPrEx>
        <w:tc>
          <w:tcPr>
            <w:tcW w:w="8749" w:type="dxa"/>
            <w:tcBorders>
              <w:top w:val="nil"/>
              <w:left w:val="nil"/>
              <w:bottom w:val="nil"/>
              <w:right w:val="nil"/>
            </w:tcBorders>
            <w:tcMar>
              <w:top w:w="0" w:type="dxa"/>
              <w:left w:w="62" w:type="dxa"/>
              <w:bottom w:w="0" w:type="dxa"/>
              <w:right w:w="62" w:type="dxa"/>
            </w:tcMar>
          </w:tcPr>
          <w:p w:rsidR="00000000" w:rsidP="00DB15D6">
            <w:pPr>
              <w:pStyle w:val="BodyText"/>
              <w:rPr>
                <w:lang w:val="en-NZ"/>
              </w:rPr>
            </w:pPr>
            <w:r w:rsidRPr="00DB15D6">
              <w:rPr>
                <w:rStyle w:val="Emphasis"/>
              </w:rPr>
              <w:t xml:space="preserve">The Foundation Skills describe those required skills (language, literacy, numeracy and </w:t>
            </w:r>
            <w:r w:rsidRPr="00DB15D6">
              <w:t xml:space="preserve">employment skills) that are </w:t>
            </w:r>
            <w:r w:rsidRPr="00DB15D6">
              <w:rPr>
                <w:rStyle w:val="Emphasis"/>
              </w:rPr>
              <w:t>essential to performance.</w:t>
            </w:r>
          </w:p>
        </w:tc>
      </w:tr>
      <w:tr w:rsidTr="00DB15D6">
        <w:tblPrEx>
          <w:tblW w:w="0" w:type="auto"/>
          <w:tblLayout w:type="fixed"/>
          <w:tblCellMar>
            <w:left w:w="62" w:type="dxa"/>
            <w:right w:w="62" w:type="dxa"/>
          </w:tblCellMar>
          <w:tblLook w:val="0000"/>
        </w:tblPrEx>
        <w:tc>
          <w:tcPr>
            <w:tcW w:w="8749" w:type="dxa"/>
            <w:tcBorders>
              <w:top w:val="nil"/>
              <w:left w:val="nil"/>
              <w:bottom w:val="nil"/>
              <w:right w:val="nil"/>
            </w:tcBorders>
            <w:tcMar>
              <w:top w:w="0" w:type="dxa"/>
              <w:left w:w="62" w:type="dxa"/>
              <w:bottom w:w="0" w:type="dxa"/>
              <w:right w:w="62" w:type="dxa"/>
            </w:tcMar>
          </w:tcPr>
          <w:p w:rsidR="00000000" w:rsidRPr="00DB15D6" w:rsidP="00DB15D6">
            <w:pPr>
              <w:pStyle w:val="BodyText"/>
            </w:pPr>
          </w:p>
          <w:p w:rsidR="00000000" w:rsidRPr="00DB15D6" w:rsidP="00DB15D6">
            <w:pPr>
              <w:pStyle w:val="BodyText"/>
            </w:pPr>
            <w:r w:rsidRPr="00DB15D6">
              <w:t>Foundat</w:t>
            </w:r>
            <w:r w:rsidRPr="00DB15D6">
              <w:t>ion skills essential to performance are explicit in the performance criteria of this unit of competency.</w:t>
            </w:r>
          </w:p>
        </w:tc>
      </w:tr>
    </w:tbl>
    <w:p w:rsidR="005F327C" w:rsidP="00DB15D6">
      <w:pPr>
        <w:pStyle w:val="BodyText"/>
      </w:pPr>
    </w:p>
    <w:p w:rsidR="005F327C" w:rsidP="00DB15D6">
      <w:pPr>
        <w:pStyle w:val="BodyText"/>
      </w:pPr>
    </w:p>
    <w:p w:rsidR="00000000" w:rsidRPr="00DB15D6" w:rsidP="00DB15D6">
      <w:pPr>
        <w:pStyle w:val="Heading1"/>
      </w:pPr>
      <w:bookmarkStart w:id="5" w:name="O_657259"/>
      <w:bookmarkEnd w:id="5"/>
      <w:r w:rsidRPr="00DB15D6">
        <w:t>Unit Mapping Information</w:t>
      </w:r>
    </w:p>
    <w:p w:rsidR="00000000" w:rsidRPr="00DB15D6" w:rsidP="005F327C">
      <w:pPr>
        <w:pStyle w:val="BodyText"/>
      </w:pPr>
      <w:r w:rsidRPr="00DB15D6">
        <w:t xml:space="preserve">No equivalent unit. </w:t>
      </w:r>
    </w:p>
    <w:p w:rsidR="00000000" w:rsidRPr="00DB15D6" w:rsidP="00DB15D6">
      <w:pPr>
        <w:pStyle w:val="Heading1"/>
      </w:pPr>
      <w:bookmarkStart w:id="6" w:name="O_657266"/>
      <w:bookmarkEnd w:id="6"/>
      <w:r w:rsidRPr="00DB15D6">
        <w:t>Links</w:t>
      </w:r>
    </w:p>
    <w:p w:rsidR="00000000" w:rsidRPr="00DB15D6" w:rsidP="005F327C">
      <w:pPr>
        <w:pStyle w:val="BodyText"/>
      </w:pPr>
      <w:r w:rsidRPr="00DB15D6">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622FE5">
        <w:rPr>
          <w:rStyle w:val="Hyperlink"/>
        </w:rPr>
        <w:t>https://vetnet.gov.au/Pages/TrainingDocs.aspx?q=ced1390f-48d9-4ab0-bd50-b015e5485705</w:t>
      </w:r>
      <w:r>
        <w:fldChar w:fldCharType="end"/>
      </w:r>
    </w:p>
    <w:p w:rsidR="00000000" w:rsidRPr="00DB15D6" w:rsidP="005F327C">
      <w:pPr>
        <w:pStyle w:val="BodyText"/>
        <w:sectPr w:rsidSect="00DB15D6">
          <w:headerReference w:type="default" r:id="rId10"/>
          <w:footerReference w:type="default" r:id="rId11"/>
          <w:pgSz w:w="11908" w:h="16833"/>
          <w:pgMar w:top="1702" w:right="1418" w:bottom="1702" w:left="1418" w:header="992" w:footer="992" w:gutter="0"/>
          <w:cols w:space="720"/>
          <w:noEndnote/>
          <w:docGrid w:linePitch="299"/>
        </w:sectPr>
      </w:pPr>
    </w:p>
    <w:p w:rsidR="00000000" w:rsidRPr="00DB15D6" w:rsidP="00DB15D6">
      <w:pPr>
        <w:pStyle w:val="SuperHeading"/>
      </w:pPr>
      <w:r w:rsidRPr="00DB15D6">
        <w:t>Assessment Requirements for HLTPHA007 Conduct small-scale compo</w:t>
      </w:r>
      <w:r w:rsidRPr="00DB15D6">
        <w:t>unding and labelling of aseptic pharmaceutical products</w:t>
      </w:r>
    </w:p>
    <w:p w:rsidR="00000000" w:rsidRPr="00DB15D6" w:rsidP="00DB15D6">
      <w:pPr>
        <w:pStyle w:val="Heading1"/>
      </w:pPr>
      <w:bookmarkStart w:id="7" w:name="O_657261"/>
      <w:bookmarkEnd w:id="7"/>
      <w:r w:rsidRPr="00DB15D6">
        <w:t>Modification History</w:t>
      </w:r>
    </w:p>
    <w:tbl>
      <w:tblPr>
        <w:tblW w:w="0" w:type="auto"/>
        <w:tblLayout w:type="fixed"/>
        <w:tblCellMar>
          <w:left w:w="62" w:type="dxa"/>
          <w:right w:w="62" w:type="dxa"/>
        </w:tblCellMar>
        <w:tblLook w:val="0000"/>
      </w:tblPr>
      <w:tblGrid>
        <w:gridCol w:w="2790"/>
        <w:gridCol w:w="6344"/>
      </w:tblGrid>
      <w:tr w:rsidTr="00DB15D6">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15D6" w:rsidP="00DB15D6">
            <w:pPr>
              <w:pStyle w:val="BodyText"/>
            </w:pPr>
            <w:r w:rsidRPr="00DB15D6">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D6">
            <w:pPr>
              <w:pStyle w:val="BodyText"/>
              <w:rPr>
                <w:lang w:val="en-NZ"/>
              </w:rPr>
            </w:pPr>
            <w:r w:rsidRPr="00DB15D6">
              <w:rPr>
                <w:rStyle w:val="SpecialBold"/>
              </w:rPr>
              <w:t>Comments</w:t>
            </w:r>
          </w:p>
        </w:tc>
      </w:tr>
      <w:tr w:rsidTr="00DB15D6">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D6">
            <w:pPr>
              <w:pStyle w:val="BodyText"/>
              <w:rPr>
                <w:lang w:val="en-NZ"/>
              </w:rPr>
            </w:pPr>
            <w:r w:rsidRPr="00DB15D6">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15D6" w:rsidP="00DB15D6">
            <w:pPr>
              <w:pStyle w:val="BodyText"/>
            </w:pPr>
            <w:r w:rsidRPr="00DB15D6">
              <w:t xml:space="preserve">This version was released in </w:t>
            </w:r>
            <w:r w:rsidRPr="00DB15D6">
              <w:rPr>
                <w:rStyle w:val="Emphasis"/>
              </w:rPr>
              <w:t>HLT Health Training Package release 2.0</w:t>
            </w:r>
            <w:r w:rsidRPr="00DB15D6">
              <w:t xml:space="preserve"> and meets the requirements of the 2012 Standards for Training Packages.</w:t>
            </w:r>
          </w:p>
          <w:p w:rsidR="00000000" w:rsidRPr="00DB15D6" w:rsidP="00DB15D6">
            <w:pPr>
              <w:pStyle w:val="BodyText"/>
            </w:pPr>
            <w:r w:rsidRPr="00DB15D6">
              <w:t>Minimal changes to the elements and performance criteria. New evidence requirements for assessment, including volume and frequency. Significant changes to knowledge evidence.</w:t>
            </w:r>
          </w:p>
        </w:tc>
      </w:tr>
    </w:tbl>
    <w:p w:rsidR="005F327C" w:rsidP="00DB15D6">
      <w:pPr>
        <w:pStyle w:val="BodyText"/>
      </w:pPr>
    </w:p>
    <w:p w:rsidR="005F327C" w:rsidP="00DB15D6">
      <w:pPr>
        <w:pStyle w:val="BodyText"/>
      </w:pPr>
    </w:p>
    <w:p w:rsidR="00000000" w:rsidRPr="00DB15D6" w:rsidP="00DB15D6">
      <w:pPr>
        <w:pStyle w:val="Heading1"/>
      </w:pPr>
      <w:bookmarkStart w:id="8" w:name="O_657262"/>
      <w:bookmarkEnd w:id="8"/>
      <w:r w:rsidRPr="00DB15D6">
        <w:t>Performance Evidence</w:t>
      </w:r>
    </w:p>
    <w:p w:rsidR="00000000" w:rsidRPr="00DB15D6" w:rsidP="005F327C">
      <w:pPr>
        <w:pStyle w:val="BodyText"/>
      </w:pPr>
      <w:r w:rsidRPr="00DB15D6">
        <w:t>The candidate must show evidence of the ability to complete tasks outlined in elements and performance criteria of this unit, manage tasks and manage contingencies in the context of the job role. There must be evidence that</w:t>
      </w:r>
      <w:r w:rsidRPr="00DB15D6">
        <w:t xml:space="preserve"> the candidate has:</w:t>
      </w:r>
    </w:p>
    <w:p w:rsidR="00000000" w:rsidRPr="00DB15D6" w:rsidP="00DB15D6">
      <w:pPr>
        <w:pStyle w:val="ListBullet"/>
      </w:pPr>
      <w:r w:rsidRPr="00DB15D6">
        <w:t>followed established procedures and industry codes to accurately and safely produce 10 aseptic products:</w:t>
      </w:r>
    </w:p>
    <w:p w:rsidR="00000000" w:rsidRPr="00DB15D6" w:rsidP="00DB15D6">
      <w:pPr>
        <w:pStyle w:val="ListBullet2"/>
      </w:pPr>
      <w:r w:rsidRPr="00DB15D6">
        <w:t>worked within the requirements of sterile areas, air locks, laminar flow hoods and cytotoxic drug safety cabinet/isolators</w:t>
      </w:r>
    </w:p>
    <w:p w:rsidR="00000000" w:rsidRPr="00DB15D6" w:rsidP="00DB15D6">
      <w:pPr>
        <w:pStyle w:val="ListBullet"/>
      </w:pPr>
      <w:r w:rsidRPr="00DB15D6">
        <w:t>identified issues outside scope of practice and referred these to the authorised person</w:t>
      </w:r>
    </w:p>
    <w:p w:rsidR="00000000" w:rsidRPr="00DB15D6" w:rsidP="00DB15D6">
      <w:pPr>
        <w:pStyle w:val="AllowPageBreak"/>
      </w:pPr>
    </w:p>
    <w:p w:rsidR="00000000" w:rsidRPr="00DB15D6" w:rsidP="00DB15D6">
      <w:pPr>
        <w:pStyle w:val="Heading1"/>
      </w:pPr>
      <w:bookmarkStart w:id="9" w:name="O_657263"/>
      <w:bookmarkEnd w:id="9"/>
      <w:r w:rsidRPr="00DB15D6">
        <w:t>Knowledge Evidence</w:t>
      </w:r>
    </w:p>
    <w:p w:rsidR="00000000" w:rsidRPr="00DB15D6" w:rsidP="005F327C">
      <w:pPr>
        <w:pStyle w:val="BodyText"/>
      </w:pPr>
      <w:r w:rsidRPr="00DB15D6">
        <w:t>The candidate must be able to demonstrate essential knowledge required to effectively complete tasks outlined in elements and perfor</w:t>
      </w:r>
      <w:r w:rsidRPr="00DB15D6">
        <w:t>mance criteria of this unit, manage tasks and manage contingencies in the context of the work role. This includes knowledge of:</w:t>
      </w:r>
    </w:p>
    <w:p w:rsidR="00000000" w:rsidRPr="00DB15D6" w:rsidP="00DB15D6">
      <w:pPr>
        <w:pStyle w:val="ListBullet"/>
      </w:pPr>
      <w:r w:rsidRPr="00DB15D6">
        <w:t>legal and ethical requirements (national, state/territory) for pharmacy work, and how these are applied in organisations, inclu</w:t>
      </w:r>
      <w:r w:rsidRPr="00DB15D6">
        <w:t>ding:</w:t>
      </w:r>
    </w:p>
    <w:p w:rsidR="00000000" w:rsidRPr="00DB15D6" w:rsidP="00DB15D6">
      <w:pPr>
        <w:pStyle w:val="ListBullet2"/>
      </w:pPr>
      <w:r w:rsidRPr="00DB15D6">
        <w:t>codes of conduct</w:t>
      </w:r>
    </w:p>
    <w:p w:rsidR="00000000" w:rsidRPr="00DB15D6" w:rsidP="00DB15D6">
      <w:pPr>
        <w:pStyle w:val="ListBullet2"/>
      </w:pPr>
      <w:r w:rsidRPr="00DB15D6">
        <w:t>duty of care (and implications of negligence)</w:t>
      </w:r>
    </w:p>
    <w:p w:rsidR="00000000" w:rsidRPr="00DB15D6" w:rsidP="00DB15D6">
      <w:pPr>
        <w:pStyle w:val="ListBullet2"/>
      </w:pPr>
      <w:r w:rsidRPr="00DB15D6">
        <w:t>privacy, confidentiality and disclosure</w:t>
      </w:r>
    </w:p>
    <w:p w:rsidR="00000000" w:rsidRPr="00DB15D6" w:rsidP="00DB15D6">
      <w:pPr>
        <w:pStyle w:val="ListBullet2"/>
      </w:pPr>
      <w:r w:rsidRPr="00DB15D6">
        <w:t xml:space="preserve">records management </w:t>
      </w:r>
    </w:p>
    <w:p w:rsidR="00000000" w:rsidRPr="00DB15D6" w:rsidP="00DB15D6">
      <w:pPr>
        <w:pStyle w:val="ListBullet2"/>
      </w:pPr>
      <w:r w:rsidRPr="00DB15D6">
        <w:t>rights and responsibilities of workers, employers and clients</w:t>
      </w:r>
    </w:p>
    <w:p w:rsidR="00000000" w:rsidRPr="00DB15D6" w:rsidP="00DB15D6">
      <w:pPr>
        <w:pStyle w:val="ListBullet2"/>
      </w:pPr>
      <w:r w:rsidRPr="00DB15D6">
        <w:t>specific legislation:</w:t>
      </w:r>
    </w:p>
    <w:p w:rsidR="00000000" w:rsidRPr="00DB15D6" w:rsidP="00DB15D6">
      <w:pPr>
        <w:pStyle w:val="ListBullet3"/>
      </w:pPr>
      <w:r w:rsidRPr="00DB15D6">
        <w:t>medicines and their use</w:t>
      </w:r>
    </w:p>
    <w:p w:rsidR="00000000" w:rsidRPr="00DB15D6" w:rsidP="00DB15D6">
      <w:pPr>
        <w:pStyle w:val="ListBullet3"/>
      </w:pPr>
      <w:r w:rsidRPr="00DB15D6">
        <w:t>the practice of pharmacy</w:t>
      </w:r>
    </w:p>
    <w:p w:rsidR="00000000" w:rsidRPr="00DB15D6" w:rsidP="00DB15D6">
      <w:pPr>
        <w:pStyle w:val="ListBullet3"/>
      </w:pPr>
      <w:r w:rsidRPr="00DB15D6">
        <w:t>different schedules of medicines and pharmaceutical products</w:t>
      </w:r>
    </w:p>
    <w:p w:rsidR="00000000" w:rsidRPr="00DB15D6" w:rsidP="00DB15D6">
      <w:pPr>
        <w:pStyle w:val="ListBullet2"/>
      </w:pPr>
      <w:r w:rsidRPr="00DB15D6">
        <w:t>work role boundaries – responsibilities and limitations in manufacturing products</w:t>
      </w:r>
    </w:p>
    <w:p w:rsidR="00000000" w:rsidRPr="00DB15D6" w:rsidP="00DB15D6">
      <w:pPr>
        <w:pStyle w:val="ListBullet2"/>
      </w:pPr>
      <w:r w:rsidRPr="00DB15D6">
        <w:t>work health and safety</w:t>
      </w:r>
    </w:p>
    <w:p w:rsidR="00000000" w:rsidRPr="00DB15D6" w:rsidP="00DB15D6">
      <w:pPr>
        <w:pStyle w:val="ListBullet"/>
      </w:pPr>
      <w:r w:rsidRPr="00DB15D6">
        <w:t>key information in standard pharmaceutical references and their</w:t>
      </w:r>
      <w:r w:rsidRPr="00DB15D6">
        <w:t xml:space="preserve"> use in manufacturing, including:</w:t>
      </w:r>
    </w:p>
    <w:p w:rsidR="00000000" w:rsidRPr="00DB15D6" w:rsidP="00DB15D6">
      <w:pPr>
        <w:pStyle w:val="ListBullet2"/>
      </w:pPr>
      <w:r w:rsidRPr="00DB15D6">
        <w:rPr>
          <w:rStyle w:val="Emphasis"/>
        </w:rPr>
        <w:t>Australian pharmaceutical formulary and handbook</w:t>
      </w:r>
      <w:r w:rsidRPr="00DB15D6">
        <w:t xml:space="preserve"> (APF)</w:t>
      </w:r>
    </w:p>
    <w:p w:rsidR="00000000" w:rsidRPr="00DB15D6" w:rsidP="00DB15D6">
      <w:pPr>
        <w:pStyle w:val="ListBullet2"/>
      </w:pPr>
      <w:r w:rsidRPr="00DB15D6">
        <w:t>MIMs</w:t>
      </w:r>
    </w:p>
    <w:p w:rsidR="00000000" w:rsidRPr="00DB15D6" w:rsidP="00DB15D6">
      <w:pPr>
        <w:pStyle w:val="ListBullet2"/>
      </w:pPr>
      <w:r w:rsidRPr="00DB15D6">
        <w:rPr>
          <w:rStyle w:val="Emphasis"/>
        </w:rPr>
        <w:t>Australian medicines handbook</w:t>
      </w:r>
      <w:r w:rsidRPr="00DB15D6">
        <w:t xml:space="preserve"> (AMH) </w:t>
      </w:r>
    </w:p>
    <w:p w:rsidR="00000000" w:rsidRPr="00DB15D6" w:rsidP="00DB15D6">
      <w:pPr>
        <w:pStyle w:val="ListBullet2"/>
      </w:pPr>
      <w:r w:rsidRPr="00DB15D6">
        <w:t>Micromedex</w:t>
      </w:r>
    </w:p>
    <w:p w:rsidR="00000000" w:rsidRPr="00DB15D6" w:rsidP="00DB15D6">
      <w:pPr>
        <w:pStyle w:val="ListBullet"/>
      </w:pPr>
      <w:r w:rsidRPr="00DB15D6">
        <w:t>rationale and key features of:</w:t>
      </w:r>
    </w:p>
    <w:p w:rsidR="00000000" w:rsidRPr="00DB15D6" w:rsidP="00DB15D6">
      <w:pPr>
        <w:pStyle w:val="ListBullet2"/>
      </w:pPr>
      <w:r w:rsidRPr="00DB15D6">
        <w:t xml:space="preserve">The Society of Hospital Pharmacists (SHPA) </w:t>
      </w:r>
      <w:r w:rsidRPr="00DB15D6">
        <w:rPr>
          <w:rStyle w:val="Emphasis"/>
        </w:rPr>
        <w:t xml:space="preserve">Standards of practice for the safe handling of cytotoxic </w:t>
      </w:r>
      <w:r w:rsidRPr="00DB15D6">
        <w:rPr>
          <w:rStyle w:val="Emphasis"/>
        </w:rPr>
        <w:t>drugs in pharmacy departments</w:t>
      </w:r>
    </w:p>
    <w:p w:rsidR="00000000" w:rsidRPr="00DB15D6" w:rsidP="00DB15D6">
      <w:pPr>
        <w:pStyle w:val="ListBullet2"/>
      </w:pPr>
      <w:r w:rsidRPr="00DB15D6">
        <w:t xml:space="preserve">Pharmaceutical Inspection Convention/Pharmaceutical Inspection Co-operation Scheme (PIC/S) </w:t>
      </w:r>
      <w:r w:rsidRPr="00DB15D6">
        <w:rPr>
          <w:rStyle w:val="Emphasis"/>
        </w:rPr>
        <w:t>Guide to good practices for the preparation of medicinal products in healthcar</w:t>
      </w:r>
      <w:r w:rsidRPr="00DB15D6">
        <w:rPr>
          <w:rStyle w:val="Emphasis"/>
        </w:rPr>
        <w:t>e establishments</w:t>
      </w:r>
      <w:r w:rsidRPr="00DB15D6">
        <w:t xml:space="preserve"> (PE010-3) </w:t>
      </w:r>
    </w:p>
    <w:p w:rsidR="00000000" w:rsidRPr="00DB15D6" w:rsidP="00DB15D6">
      <w:pPr>
        <w:pStyle w:val="ListBullet"/>
      </w:pPr>
      <w:r w:rsidRPr="00DB15D6">
        <w:t>product identification and handling, including those for:</w:t>
      </w:r>
    </w:p>
    <w:p w:rsidR="00000000" w:rsidRPr="00DB15D6" w:rsidP="00DB15D6">
      <w:pPr>
        <w:pStyle w:val="ListBullet2"/>
      </w:pPr>
      <w:r w:rsidRPr="00DB15D6">
        <w:t xml:space="preserve">formulary medicines and non-formulary medicines </w:t>
      </w:r>
    </w:p>
    <w:p w:rsidR="00000000" w:rsidRPr="00DB15D6" w:rsidP="00DB15D6">
      <w:pPr>
        <w:pStyle w:val="ListBullet2"/>
      </w:pPr>
      <w:r w:rsidRPr="00DB15D6">
        <w:t>products with the required integrity as well as those whose integrity has been compromised</w:t>
      </w:r>
    </w:p>
    <w:p w:rsidR="00000000" w:rsidRPr="00DB15D6" w:rsidP="00DB15D6">
      <w:pPr>
        <w:pStyle w:val="ListBullet2"/>
      </w:pPr>
      <w:r w:rsidRPr="00DB15D6">
        <w:t>routine of handling products</w:t>
      </w:r>
      <w:r w:rsidRPr="00DB15D6">
        <w:t xml:space="preserve"> and products requiring special handling </w:t>
      </w:r>
    </w:p>
    <w:p w:rsidR="00000000" w:rsidRPr="00DB15D6" w:rsidP="00DB15D6">
      <w:pPr>
        <w:pStyle w:val="ListBullet"/>
      </w:pPr>
      <w:r w:rsidRPr="00DB15D6">
        <w:t>nature and use of different dosage forms, including:</w:t>
      </w:r>
    </w:p>
    <w:p w:rsidR="00000000" w:rsidRPr="00DB15D6" w:rsidP="00DB15D6">
      <w:pPr>
        <w:pStyle w:val="ListBullet2"/>
      </w:pPr>
      <w:r w:rsidRPr="00DB15D6">
        <w:t>oral</w:t>
      </w:r>
    </w:p>
    <w:p w:rsidR="00000000" w:rsidRPr="00DB15D6" w:rsidP="00DB15D6">
      <w:pPr>
        <w:pStyle w:val="ListBullet2"/>
      </w:pPr>
      <w:r w:rsidRPr="00DB15D6">
        <w:t xml:space="preserve">parenteral products </w:t>
      </w:r>
    </w:p>
    <w:p w:rsidR="00000000" w:rsidRPr="00DB15D6" w:rsidP="00DB15D6">
      <w:pPr>
        <w:pStyle w:val="ListBullet2"/>
      </w:pPr>
      <w:r w:rsidRPr="00DB15D6">
        <w:t>topical</w:t>
      </w:r>
    </w:p>
    <w:p w:rsidR="00000000" w:rsidRPr="00DB15D6" w:rsidP="00DB15D6">
      <w:pPr>
        <w:pStyle w:val="ListBullet"/>
      </w:pPr>
      <w:r w:rsidRPr="00DB15D6">
        <w:t>infection control requirements for small scale compounding of aseptic pharmaceutical products, including:</w:t>
      </w:r>
    </w:p>
    <w:p w:rsidR="00000000" w:rsidRPr="00DB15D6" w:rsidP="00DB15D6">
      <w:pPr>
        <w:pStyle w:val="ListBullet2"/>
      </w:pPr>
      <w:r w:rsidRPr="00DB15D6">
        <w:t>aseptic technique</w:t>
      </w:r>
    </w:p>
    <w:p w:rsidR="00000000" w:rsidRPr="00DB15D6" w:rsidP="00DB15D6">
      <w:pPr>
        <w:pStyle w:val="ListBullet2"/>
      </w:pPr>
      <w:r w:rsidRPr="00DB15D6">
        <w:t>correct disposal of sharps and residues</w:t>
      </w:r>
    </w:p>
    <w:p w:rsidR="00000000" w:rsidRPr="00DB15D6" w:rsidP="00DB15D6">
      <w:pPr>
        <w:pStyle w:val="ListBullet2"/>
      </w:pPr>
      <w:r w:rsidRPr="00DB15D6">
        <w:t>cleaning and disinfection processes plus sterilisation of pharmaceuticals</w:t>
      </w:r>
    </w:p>
    <w:p w:rsidR="00000000" w:rsidRPr="00DB15D6" w:rsidP="00DB15D6">
      <w:pPr>
        <w:pStyle w:val="ListBullet2"/>
      </w:pPr>
      <w:r w:rsidRPr="00DB15D6">
        <w:t>personal hygiene and clothing standards</w:t>
      </w:r>
    </w:p>
    <w:p w:rsidR="00000000" w:rsidRPr="00DB15D6" w:rsidP="00DB15D6">
      <w:pPr>
        <w:pStyle w:val="ListBullet2"/>
      </w:pPr>
      <w:r w:rsidRPr="00DB15D6">
        <w:t>sources and types of contamination and required responses – microbial, cross-chemical, physical, envi</w:t>
      </w:r>
      <w:r w:rsidRPr="00DB15D6">
        <w:t>ronmental and corrective strategies</w:t>
      </w:r>
    </w:p>
    <w:p w:rsidR="00000000" w:rsidRPr="00DB15D6" w:rsidP="00DB15D6">
      <w:pPr>
        <w:pStyle w:val="ListBullet"/>
      </w:pPr>
      <w:r w:rsidRPr="00DB15D6">
        <w:t>processes relating to aseptic, including:</w:t>
      </w:r>
    </w:p>
    <w:p w:rsidR="00000000" w:rsidRPr="00DB15D6" w:rsidP="00DB15D6">
      <w:pPr>
        <w:pStyle w:val="ListBullet2"/>
      </w:pPr>
      <w:r w:rsidRPr="00DB15D6">
        <w:t>calculations for all sterile admixtures</w:t>
      </w:r>
    </w:p>
    <w:p w:rsidR="00000000" w:rsidRPr="00DB15D6" w:rsidP="00DB15D6">
      <w:pPr>
        <w:pStyle w:val="ListBullet2"/>
      </w:pPr>
      <w:r w:rsidRPr="00DB15D6">
        <w:t>chemical and physical properties of materials in relation to formulation and compounding</w:t>
      </w:r>
    </w:p>
    <w:p w:rsidR="00000000" w:rsidRPr="00DB15D6" w:rsidP="00DB15D6">
      <w:pPr>
        <w:pStyle w:val="ListBullet2"/>
      </w:pPr>
      <w:r w:rsidRPr="00DB15D6">
        <w:t>principles and procedures of formulae calculati</w:t>
      </w:r>
      <w:r w:rsidRPr="00DB15D6">
        <w:t>ons, weights and measures</w:t>
      </w:r>
    </w:p>
    <w:p w:rsidR="00000000" w:rsidRPr="00DB15D6" w:rsidP="00DB15D6">
      <w:pPr>
        <w:pStyle w:val="ListBullet2"/>
      </w:pPr>
      <w:r w:rsidRPr="00DB15D6">
        <w:t>principles of aseptic technique, including cytotoxic manufacturing</w:t>
      </w:r>
    </w:p>
    <w:p w:rsidR="00000000" w:rsidRPr="00DB15D6" w:rsidP="00DB15D6">
      <w:pPr>
        <w:pStyle w:val="ListBullet2"/>
      </w:pPr>
      <w:r w:rsidRPr="00DB15D6">
        <w:t>processes for dilution, suspension, incorporation and reconstitution</w:t>
      </w:r>
    </w:p>
    <w:p w:rsidR="00000000" w:rsidRPr="00DB15D6" w:rsidP="00DB15D6">
      <w:pPr>
        <w:pStyle w:val="ListBullet2"/>
      </w:pPr>
      <w:r w:rsidRPr="00DB15D6">
        <w:t>use of terminal filtration</w:t>
      </w:r>
    </w:p>
    <w:p w:rsidR="00000000" w:rsidRPr="00DB15D6" w:rsidP="00DB15D6">
      <w:pPr>
        <w:pStyle w:val="ListBullet"/>
      </w:pPr>
      <w:r w:rsidRPr="00DB15D6">
        <w:t>risk considerations and procedures for pharmaceutical manufacturing:</w:t>
      </w:r>
    </w:p>
    <w:p w:rsidR="00000000" w:rsidRPr="00DB15D6" w:rsidP="00DB15D6">
      <w:pPr>
        <w:pStyle w:val="ListBullet2"/>
      </w:pPr>
      <w:r w:rsidRPr="00DB15D6">
        <w:t xml:space="preserve">product security </w:t>
      </w:r>
    </w:p>
    <w:p w:rsidR="00000000" w:rsidRPr="00DB15D6" w:rsidP="00DB15D6">
      <w:pPr>
        <w:pStyle w:val="ListBullet2"/>
      </w:pPr>
      <w:r w:rsidRPr="00DB15D6">
        <w:t>handling and storage of hazardous materials</w:t>
      </w:r>
    </w:p>
    <w:p w:rsidR="00000000" w:rsidRPr="00DB15D6" w:rsidP="00DB15D6">
      <w:pPr>
        <w:pStyle w:val="ListBullet2"/>
      </w:pPr>
      <w:r w:rsidRPr="00DB15D6">
        <w:t xml:space="preserve">quarantine periods </w:t>
      </w:r>
    </w:p>
    <w:p w:rsidR="00000000" w:rsidRPr="00DB15D6" w:rsidP="00DB15D6">
      <w:pPr>
        <w:pStyle w:val="ListBullet2"/>
      </w:pPr>
      <w:r w:rsidRPr="00DB15D6">
        <w:t>management of cytotoxic spills</w:t>
      </w:r>
    </w:p>
    <w:p w:rsidR="00000000" w:rsidRPr="00DB15D6" w:rsidP="00DB15D6">
      <w:pPr>
        <w:pStyle w:val="ListBullet2"/>
      </w:pPr>
      <w:r w:rsidRPr="00DB15D6">
        <w:t>specific hazards related to cytotoxic manufacture</w:t>
      </w:r>
    </w:p>
    <w:p w:rsidR="00000000" w:rsidRPr="00DB15D6" w:rsidP="00DB15D6">
      <w:pPr>
        <w:pStyle w:val="ListBullet2"/>
      </w:pPr>
      <w:r w:rsidRPr="00DB15D6">
        <w:t xml:space="preserve">transport of cytotoxic </w:t>
      </w:r>
      <w:r w:rsidRPr="00DB15D6">
        <w:t>medications</w:t>
      </w:r>
    </w:p>
    <w:p w:rsidR="00000000" w:rsidRPr="00DB15D6" w:rsidP="00DB15D6">
      <w:pPr>
        <w:pStyle w:val="ListBullet"/>
      </w:pPr>
      <w:r w:rsidRPr="00DB15D6">
        <w:t xml:space="preserve">requirements for formulated manufacturing documentation, including: </w:t>
      </w:r>
    </w:p>
    <w:p w:rsidR="00000000" w:rsidRPr="00DB15D6" w:rsidP="00DB15D6">
      <w:pPr>
        <w:pStyle w:val="ListBullet2"/>
      </w:pPr>
      <w:r w:rsidRPr="00DB15D6">
        <w:t>different documentation types, their scope and purpose</w:t>
      </w:r>
    </w:p>
    <w:p w:rsidR="00000000" w:rsidRPr="00DB15D6" w:rsidP="00DB15D6">
      <w:pPr>
        <w:pStyle w:val="ListBullet2"/>
      </w:pPr>
      <w:r w:rsidRPr="00DB15D6">
        <w:t>worksheet processes</w:t>
      </w:r>
    </w:p>
    <w:p w:rsidR="00000000" w:rsidRPr="00DB15D6" w:rsidP="00DB15D6">
      <w:pPr>
        <w:pStyle w:val="ListBullet2"/>
      </w:pPr>
      <w:r w:rsidRPr="00DB15D6">
        <w:t>information quality requirements (including clarity, logic and completeness)</w:t>
      </w:r>
    </w:p>
    <w:p w:rsidR="00000000" w:rsidRPr="00DB15D6" w:rsidP="00DB15D6">
      <w:pPr>
        <w:pStyle w:val="ListBullet"/>
      </w:pPr>
      <w:r w:rsidRPr="00DB15D6">
        <w:t>specific labelling requirements for compounded products, including:</w:t>
      </w:r>
    </w:p>
    <w:p w:rsidR="00000000" w:rsidRPr="00DB15D6" w:rsidP="00DB15D6">
      <w:pPr>
        <w:pStyle w:val="ListBullet2"/>
      </w:pPr>
      <w:r w:rsidRPr="00DB15D6">
        <w:t>adherence to legislative requirements</w:t>
      </w:r>
    </w:p>
    <w:p w:rsidR="00000000" w:rsidRPr="00DB15D6" w:rsidP="00DB15D6">
      <w:pPr>
        <w:pStyle w:val="ListBullet2"/>
      </w:pPr>
      <w:r w:rsidRPr="00DB15D6">
        <w:t>name, form and strength of product</w:t>
      </w:r>
    </w:p>
    <w:p w:rsidR="00000000" w:rsidRPr="00DB15D6" w:rsidP="00DB15D6">
      <w:pPr>
        <w:pStyle w:val="ListBullet2"/>
      </w:pPr>
      <w:r w:rsidRPr="00DB15D6">
        <w:t>ancillary labels as part of label details</w:t>
      </w:r>
    </w:p>
    <w:p w:rsidR="00000000" w:rsidRPr="00DB15D6" w:rsidP="00DB15D6">
      <w:pPr>
        <w:pStyle w:val="ListBullet2"/>
      </w:pPr>
      <w:r w:rsidRPr="00DB15D6">
        <w:t>hazard warnings</w:t>
      </w:r>
    </w:p>
    <w:p w:rsidR="00000000" w:rsidRPr="00DB15D6" w:rsidP="00DB15D6">
      <w:pPr>
        <w:pStyle w:val="ListBullet2"/>
      </w:pPr>
      <w:r w:rsidRPr="00DB15D6">
        <w:t>spacing for entry of batch numbers and expiry dates</w:t>
      </w:r>
    </w:p>
    <w:p w:rsidR="00000000" w:rsidRPr="00DB15D6" w:rsidP="00DB15D6">
      <w:pPr>
        <w:pStyle w:val="ListBullet"/>
      </w:pPr>
      <w:r w:rsidRPr="00DB15D6">
        <w:t>pac</w:t>
      </w:r>
      <w:r w:rsidRPr="00DB15D6">
        <w:t>kaging methods, container materials and principles for selection</w:t>
      </w:r>
    </w:p>
    <w:p w:rsidR="00000000" w:rsidRPr="00DB15D6" w:rsidP="00DB15D6">
      <w:pPr>
        <w:pStyle w:val="ListBullet"/>
      </w:pPr>
      <w:r w:rsidRPr="00DB15D6">
        <w:t>storage and transport requirements and rationale for different types of product including:</w:t>
      </w:r>
    </w:p>
    <w:p w:rsidR="00000000" w:rsidRPr="00DB15D6" w:rsidP="00DB15D6">
      <w:pPr>
        <w:pStyle w:val="ListBullet2"/>
      </w:pPr>
      <w:r w:rsidRPr="00DB15D6">
        <w:t>hazardous materials</w:t>
      </w:r>
    </w:p>
    <w:p w:rsidR="00000000" w:rsidRPr="00DB15D6" w:rsidP="00DB15D6">
      <w:pPr>
        <w:pStyle w:val="ListBullet2"/>
      </w:pPr>
      <w:r w:rsidRPr="00DB15D6">
        <w:t>special storage considerations:</w:t>
      </w:r>
    </w:p>
    <w:p w:rsidR="00000000" w:rsidRPr="00DB15D6" w:rsidP="00DB15D6">
      <w:pPr>
        <w:pStyle w:val="ListBullet3"/>
      </w:pPr>
      <w:r w:rsidRPr="00DB15D6">
        <w:t>humidity</w:t>
      </w:r>
    </w:p>
    <w:p w:rsidR="00000000" w:rsidRPr="00DB15D6" w:rsidP="00DB15D6">
      <w:pPr>
        <w:pStyle w:val="ListBullet3"/>
      </w:pPr>
      <w:r w:rsidRPr="00DB15D6">
        <w:t>isolation</w:t>
      </w:r>
    </w:p>
    <w:p w:rsidR="00000000" w:rsidRPr="00DB15D6" w:rsidP="00DB15D6">
      <w:pPr>
        <w:pStyle w:val="ListBullet3"/>
      </w:pPr>
      <w:r w:rsidRPr="00DB15D6">
        <w:t>light</w:t>
      </w:r>
    </w:p>
    <w:p w:rsidR="00000000" w:rsidRPr="00DB15D6" w:rsidP="00DB15D6">
      <w:pPr>
        <w:pStyle w:val="ListBullet3"/>
      </w:pPr>
      <w:r w:rsidRPr="00DB15D6">
        <w:t>temperature</w:t>
      </w:r>
    </w:p>
    <w:p w:rsidR="00000000" w:rsidRPr="00DB15D6" w:rsidP="00DB15D6">
      <w:pPr>
        <w:pStyle w:val="ListBullet3"/>
      </w:pPr>
      <w:r w:rsidRPr="00DB15D6">
        <w:t>ventilation</w:t>
      </w:r>
    </w:p>
    <w:p w:rsidR="00000000" w:rsidRPr="00DB15D6" w:rsidP="00DB15D6">
      <w:pPr>
        <w:pStyle w:val="ListBullet"/>
      </w:pPr>
      <w:r w:rsidRPr="00DB15D6">
        <w:t>features and use of pharmacy systems used for aseptic compounding</w:t>
      </w:r>
    </w:p>
    <w:p w:rsidR="00000000" w:rsidRPr="00DB15D6" w:rsidP="00DB15D6">
      <w:pPr>
        <w:pStyle w:val="ListBullet"/>
      </w:pPr>
      <w:r w:rsidRPr="00DB15D6">
        <w:t>circumstances that require compounding of the product within a laminar flow hood/clean room or cytotoxic drug safety cabinet/cytotoxic suite or room or isolator</w:t>
      </w:r>
    </w:p>
    <w:p w:rsidR="00000000" w:rsidRPr="00DB15D6" w:rsidP="00DB15D6">
      <w:pPr>
        <w:pStyle w:val="AllowPageBreak"/>
      </w:pPr>
    </w:p>
    <w:p w:rsidR="00000000" w:rsidRPr="00DB15D6" w:rsidP="00DB15D6">
      <w:pPr>
        <w:pStyle w:val="Heading1"/>
      </w:pPr>
      <w:bookmarkStart w:id="10" w:name="O_657264"/>
      <w:bookmarkEnd w:id="10"/>
      <w:r w:rsidRPr="00DB15D6">
        <w:t>Assessment Conditions</w:t>
      </w:r>
    </w:p>
    <w:p w:rsidR="00000000" w:rsidRPr="00DB15D6" w:rsidP="005F327C">
      <w:pPr>
        <w:pStyle w:val="BodyText"/>
      </w:pPr>
      <w:r w:rsidRPr="00DB15D6">
        <w:t xml:space="preserve">Skills must have been demonstrated in the workplace or in a simulated environment that reflects workplace conditions. The following conditions must be met for this unit: </w:t>
      </w:r>
    </w:p>
    <w:p w:rsidR="00000000" w:rsidRPr="00DB15D6" w:rsidP="00DB15D6">
      <w:pPr>
        <w:pStyle w:val="ListBullet"/>
      </w:pPr>
      <w:r w:rsidRPr="00DB15D6">
        <w:t>use of suitable facilities, equipment and resources, includin</w:t>
      </w:r>
      <w:r w:rsidRPr="00DB15D6">
        <w:t xml:space="preserve">g: </w:t>
      </w:r>
    </w:p>
    <w:p w:rsidR="00000000" w:rsidRPr="00DB15D6" w:rsidP="00DB15D6">
      <w:pPr>
        <w:pStyle w:val="ListBullet2"/>
      </w:pPr>
      <w:r w:rsidRPr="00DB15D6">
        <w:t>simulated facilities with physically separate areas for preparation/checking of product, hand washing and manipulation of produce</w:t>
      </w:r>
    </w:p>
    <w:p w:rsidR="00000000" w:rsidRPr="00DB15D6" w:rsidP="00DB15D6">
      <w:pPr>
        <w:pStyle w:val="ListBullet2"/>
      </w:pPr>
      <w:r w:rsidRPr="00DB15D6">
        <w:t>gowns, gloves and hand washing facilities</w:t>
      </w:r>
    </w:p>
    <w:p w:rsidR="00000000" w:rsidRPr="00DB15D6" w:rsidP="00DB15D6">
      <w:pPr>
        <w:pStyle w:val="ListBullet2"/>
      </w:pPr>
      <w:r w:rsidRPr="00DB15D6">
        <w:t>weighing and measuring equipment</w:t>
      </w:r>
    </w:p>
    <w:p w:rsidR="00000000" w:rsidRPr="00DB15D6" w:rsidP="00DB15D6">
      <w:pPr>
        <w:pStyle w:val="ListBullet2"/>
      </w:pPr>
      <w:r w:rsidRPr="00DB15D6">
        <w:t>materials (including simulation med</w:t>
      </w:r>
      <w:r w:rsidRPr="00DB15D6">
        <w:t>icine substitutes such as coloured water) and disposable equipment</w:t>
      </w:r>
    </w:p>
    <w:p w:rsidR="00000000" w:rsidRPr="00DB15D6" w:rsidP="00DB15D6">
      <w:pPr>
        <w:pStyle w:val="ListBullet"/>
      </w:pPr>
      <w:r w:rsidRPr="00DB15D6">
        <w:t>note that a clean room environment is not required for simulated assessment</w:t>
      </w:r>
    </w:p>
    <w:p w:rsidR="00000000" w:rsidRPr="00DB15D6" w:rsidP="00DB15D6">
      <w:pPr>
        <w:pStyle w:val="ListBullet"/>
      </w:pPr>
      <w:r w:rsidRPr="00DB15D6">
        <w:t>modelling of industry operating conditions, including time constraints for completing activity</w:t>
      </w:r>
    </w:p>
    <w:p w:rsidR="00000000" w:rsidRPr="00DB15D6" w:rsidP="00DB15D6">
      <w:pPr>
        <w:pStyle w:val="BodyText"/>
      </w:pPr>
    </w:p>
    <w:p w:rsidR="00000000" w:rsidRPr="00DB15D6" w:rsidP="005F327C">
      <w:pPr>
        <w:pStyle w:val="BodyText"/>
      </w:pPr>
      <w:r w:rsidRPr="00DB15D6">
        <w:t>Assessors must s</w:t>
      </w:r>
      <w:r w:rsidRPr="00DB15D6">
        <w:t>atisfy the Standards for Registered Training Organisations (RTOs) 2015/AQTF mandatory competency requirements for assessors.</w:t>
      </w:r>
    </w:p>
    <w:p w:rsidR="00000000" w:rsidRPr="00DB15D6" w:rsidP="00DB15D6">
      <w:pPr>
        <w:pStyle w:val="Heading1"/>
      </w:pPr>
      <w:bookmarkStart w:id="11" w:name="O_657267"/>
      <w:bookmarkEnd w:id="11"/>
      <w:r w:rsidRPr="00DB15D6">
        <w:t>Links</w:t>
      </w:r>
    </w:p>
    <w:p w:rsidR="00000000" w:rsidRPr="00DB15D6" w:rsidP="005F327C">
      <w:pPr>
        <w:pStyle w:val="BodyText"/>
      </w:pPr>
      <w:r w:rsidRPr="00DB15D6">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622FE5">
        <w:rPr>
          <w:rStyle w:val="Hyperlink"/>
        </w:rPr>
        <w:t>https://vetnet.gov.au/Pages/TrainingDocs.aspx?q=ced1390f-48d9-4ab0-bd50-b015e5485705</w:t>
      </w:r>
      <w:r>
        <w:fldChar w:fldCharType="end"/>
      </w:r>
    </w:p>
    <w:p w:rsidR="00000000" w:rsidRPr="00DB15D6" w:rsidP="00DB15D6"/>
    <w:sectPr w:rsidSect="00DB15D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5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5D6" w:rsidRPr="005F327C" w:rsidP="005F32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5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27C" w:rsidP="00DB15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5F327C" w:rsidP="00DB15D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5F327C" w:rsidP="00DB15D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5D6" w:rsidP="00DB15D6">
    <w:pPr>
      <w:pStyle w:val="Footer"/>
      <w:framePr w:wrap="around"/>
    </w:pPr>
    <w:r>
      <w:fldChar w:fldCharType="begin"/>
    </w:r>
    <w:r>
      <w:instrText xml:space="preserve"> DOCPROPERTY  Subject  \* MERGEFORMAT </w:instrText>
    </w:r>
    <w:r>
      <w:fldChar w:fldCharType="separate"/>
    </w:r>
    <w:r w:rsidR="005F327C">
      <w:t>Approved</w:t>
    </w:r>
    <w:r w:rsidR="005F327C">
      <w:fldChar w:fldCharType="end"/>
    </w:r>
    <w:r>
      <w:tab/>
      <w:t xml:space="preserve">Page </w:t>
    </w:r>
    <w:r>
      <w:fldChar w:fldCharType="begin"/>
    </w:r>
    <w:r>
      <w:instrText xml:space="preserve"> PAGE  \* Arabic  \* MERGEFORMAT </w:instrText>
    </w:r>
    <w:r>
      <w:fldChar w:fldCharType="separate"/>
    </w:r>
    <w:r w:rsidR="005F327C">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F327C">
      <w:rPr>
        <w:noProof/>
      </w:rPr>
      <w:t>6</w:t>
    </w:r>
    <w:r>
      <w:rPr>
        <w:noProof/>
      </w:rPr>
      <w:fldChar w:fldCharType="end"/>
    </w:r>
  </w:p>
  <w:p w:rsidR="00DB15D6" w:rsidP="00DB15D6">
    <w:pPr>
      <w:pStyle w:val="Footer"/>
      <w:framePr w:wrap="around"/>
    </w:pPr>
    <w:r>
      <w:t xml:space="preserve">© Commonwealth of Australia, </w:t>
    </w:r>
    <w:r>
      <w:fldChar w:fldCharType="begin"/>
    </w:r>
    <w:r>
      <w:instrText xml:space="preserve"> DATE  \@ "yyyy"  \* MERGEFORMAT </w:instrText>
    </w:r>
    <w:r>
      <w:fldChar w:fldCharType="separate"/>
    </w:r>
    <w:r w:rsidR="005F327C">
      <w:rPr>
        <w:noProof/>
      </w:rPr>
      <w:t>2025</w:t>
    </w:r>
    <w:r>
      <w:fldChar w:fldCharType="end"/>
    </w:r>
    <w:r>
      <w:tab/>
    </w:r>
    <w:r>
      <w:fldChar w:fldCharType="begin"/>
    </w:r>
    <w:r>
      <w:instrText xml:space="preserve"> DOCPROPERTY  Author  \* MERGEFORMAT </w:instrText>
    </w:r>
    <w:r>
      <w:fldChar w:fldCharType="separate"/>
    </w:r>
    <w:r w:rsidR="005F327C">
      <w:t>HumanAbility</w:t>
    </w:r>
    <w:r w:rsidR="005F327C">
      <w:fldChar w:fldCharType="end"/>
    </w:r>
  </w:p>
  <w:p w:rsidR="00DB15D6" w:rsidP="00DB15D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5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27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B15D6" w:rsidRPr="005F327C" w:rsidP="005F327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5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27C" w:rsidRPr="002D2AF8" w:rsidP="00DB15D6">
    <w:pPr>
      <w:pStyle w:val="Header"/>
      <w:framePr w:wrap="around"/>
    </w:pPr>
    <w:r>
      <w:fldChar w:fldCharType="begin"/>
    </w:r>
    <w:r>
      <w:instrText xml:space="preserve"> TITLE   \* MERGEFORMAT </w:instrText>
    </w:r>
    <w:r>
      <w:fldChar w:fldCharType="separate"/>
    </w:r>
    <w:r>
      <w:t>HLTPHA007 Conduct small-scale compounding and labelling of aseptic pharmaceutical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F327C" w:rsidP="00DB15D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5D6" w:rsidRPr="002D2AF8" w:rsidP="00DB15D6">
    <w:pPr>
      <w:pStyle w:val="Header"/>
      <w:framePr w:wrap="around"/>
    </w:pPr>
    <w:r>
      <w:fldChar w:fldCharType="begin"/>
    </w:r>
    <w:r>
      <w:instrText xml:space="preserve"> TITLE   \* MERGEFORMAT </w:instrText>
    </w:r>
    <w:r>
      <w:fldChar w:fldCharType="separate"/>
    </w:r>
    <w:r w:rsidR="005F327C">
      <w:t>HLTPHA007 Conduct small-scale compounding and labelling of aseptic pharmaceutical products</w:t>
    </w:r>
    <w:r w:rsidR="005F327C">
      <w:fldChar w:fldCharType="end"/>
    </w:r>
    <w:r>
      <w:tab/>
      <w:t xml:space="preserve">Date this document was generated: </w:t>
    </w:r>
    <w:r>
      <w:fldChar w:fldCharType="begin"/>
    </w:r>
    <w:r>
      <w:instrText xml:space="preserve"> CREATEDATE  \@ "d MMMM yyyy"  \* MERGEFORMAT </w:instrText>
    </w:r>
    <w:r>
      <w:fldChar w:fldCharType="separate"/>
    </w:r>
    <w:r w:rsidR="005F327C">
      <w:rPr>
        <w:noProof/>
      </w:rPr>
      <w:t>2 March 2025</w:t>
    </w:r>
    <w:r>
      <w:fldChar w:fldCharType="end"/>
    </w:r>
  </w:p>
  <w:p w:rsidR="00DB15D6" w:rsidP="00DB15D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3EE81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E1E42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D6ABC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unhideWhenUsed="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15D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B15D6"/>
    <w:pPr>
      <w:spacing w:before="360" w:after="60"/>
      <w:outlineLvl w:val="0"/>
    </w:pPr>
    <w:rPr>
      <w:sz w:val="32"/>
    </w:rPr>
  </w:style>
  <w:style w:type="paragraph" w:styleId="Heading2">
    <w:name w:val="heading 2"/>
    <w:basedOn w:val="HeadingBase"/>
    <w:next w:val="BodyText"/>
    <w:link w:val="Heading2Char"/>
    <w:qFormat/>
    <w:rsid w:val="00DB15D6"/>
    <w:pPr>
      <w:keepLines/>
      <w:spacing w:before="240" w:after="120"/>
      <w:outlineLvl w:val="1"/>
    </w:pPr>
    <w:rPr>
      <w:sz w:val="28"/>
      <w:szCs w:val="40"/>
    </w:rPr>
  </w:style>
  <w:style w:type="paragraph" w:styleId="Heading3">
    <w:name w:val="heading 3"/>
    <w:basedOn w:val="HeadingBase"/>
    <w:next w:val="BodyText"/>
    <w:link w:val="Heading3Char"/>
    <w:qFormat/>
    <w:rsid w:val="00DB15D6"/>
    <w:pPr>
      <w:spacing w:before="180" w:after="120"/>
      <w:outlineLvl w:val="2"/>
    </w:pPr>
    <w:rPr>
      <w:spacing w:val="-10"/>
      <w:kern w:val="32"/>
    </w:rPr>
  </w:style>
  <w:style w:type="paragraph" w:styleId="Heading4">
    <w:name w:val="heading 4"/>
    <w:basedOn w:val="HeadingBase"/>
    <w:next w:val="BodyText"/>
    <w:link w:val="Heading4Char"/>
    <w:qFormat/>
    <w:rsid w:val="00DB15D6"/>
    <w:pPr>
      <w:spacing w:before="160" w:after="120"/>
      <w:outlineLvl w:val="3"/>
    </w:pPr>
    <w:rPr>
      <w:sz w:val="22"/>
    </w:rPr>
  </w:style>
  <w:style w:type="paragraph" w:styleId="Heading5">
    <w:name w:val="heading 5"/>
    <w:basedOn w:val="HeadingBase"/>
    <w:next w:val="Normal"/>
    <w:link w:val="Heading5Char"/>
    <w:qFormat/>
    <w:rsid w:val="00DB15D6"/>
    <w:pPr>
      <w:spacing w:before="80"/>
      <w:outlineLvl w:val="4"/>
    </w:pPr>
    <w:rPr>
      <w:color w:val="918585"/>
      <w:sz w:val="20"/>
    </w:rPr>
  </w:style>
  <w:style w:type="paragraph" w:styleId="Heading6">
    <w:name w:val="heading 6"/>
    <w:basedOn w:val="HeadingBase"/>
    <w:next w:val="Normal"/>
    <w:link w:val="Heading6Char"/>
    <w:qFormat/>
    <w:rsid w:val="00DB15D6"/>
    <w:pPr>
      <w:spacing w:before="60"/>
      <w:outlineLvl w:val="5"/>
    </w:pPr>
    <w:rPr>
      <w:color w:val="918585"/>
      <w:sz w:val="20"/>
    </w:rPr>
  </w:style>
  <w:style w:type="paragraph" w:styleId="Heading7">
    <w:name w:val="heading 7"/>
    <w:basedOn w:val="Normal"/>
    <w:next w:val="Normal"/>
    <w:link w:val="Heading7Char"/>
    <w:qFormat/>
    <w:rsid w:val="00DB15D6"/>
    <w:pPr>
      <w:ind w:left="720"/>
      <w:outlineLvl w:val="6"/>
    </w:pPr>
    <w:rPr>
      <w:i/>
    </w:rPr>
  </w:style>
  <w:style w:type="paragraph" w:styleId="Heading8">
    <w:name w:val="heading 8"/>
    <w:basedOn w:val="Normal"/>
    <w:next w:val="Normal"/>
    <w:link w:val="Heading8Char"/>
    <w:qFormat/>
    <w:rsid w:val="00DB15D6"/>
    <w:pPr>
      <w:ind w:left="720"/>
      <w:outlineLvl w:val="7"/>
    </w:pPr>
    <w:rPr>
      <w:i/>
    </w:rPr>
  </w:style>
  <w:style w:type="paragraph" w:styleId="Heading9">
    <w:name w:val="heading 9"/>
    <w:basedOn w:val="Normal"/>
    <w:next w:val="Normal"/>
    <w:link w:val="Heading9Char"/>
    <w:qFormat/>
    <w:rsid w:val="00DB15D6"/>
    <w:pPr>
      <w:ind w:left="720"/>
      <w:outlineLvl w:val="8"/>
    </w:pPr>
    <w:rPr>
      <w:i/>
    </w:rPr>
  </w:style>
  <w:style w:type="character" w:default="1" w:styleId="DefaultParagraphFont">
    <w:name w:val="Default Paragraph Font"/>
    <w:uiPriority w:val="1"/>
    <w:unhideWhenUsed/>
    <w:rsid w:val="00DB15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15D6"/>
  </w:style>
  <w:style w:type="character" w:customStyle="1" w:styleId="Heading1Char">
    <w:name w:val="Heading 1 Char"/>
    <w:basedOn w:val="DefaultParagraphFont"/>
    <w:link w:val="Heading1"/>
    <w:rsid w:val="00DB15D6"/>
    <w:rPr>
      <w:rFonts w:ascii="Times New Roman" w:eastAsia="Times New Roman" w:hAnsi="Times New Roman" w:cs="Times New Roman"/>
      <w:b/>
      <w:sz w:val="32"/>
      <w:szCs w:val="20"/>
      <w:lang w:eastAsia="en-US"/>
    </w:rPr>
  </w:style>
  <w:style w:type="paragraph" w:styleId="BodyText">
    <w:name w:val="Body Text"/>
    <w:basedOn w:val="Normal"/>
    <w:link w:val="BodyTextChar"/>
    <w:rsid w:val="00DB15D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B15D6"/>
    <w:rPr>
      <w:rFonts w:ascii="Times New Roman" w:eastAsia="Times New Roman" w:hAnsi="Times New Roman" w:cs="Times New Roman"/>
      <w:sz w:val="24"/>
      <w:lang w:eastAsia="en-US"/>
    </w:rPr>
  </w:style>
  <w:style w:type="paragraph" w:styleId="ListBullet">
    <w:name w:val="List Bullet"/>
    <w:basedOn w:val="List"/>
    <w:rsid w:val="00DB15D6"/>
    <w:pPr>
      <w:numPr>
        <w:numId w:val="13"/>
      </w:numPr>
      <w:tabs>
        <w:tab w:val="clear" w:pos="340"/>
      </w:tabs>
      <w:spacing w:before="40" w:after="40"/>
    </w:pPr>
  </w:style>
  <w:style w:type="character" w:customStyle="1" w:styleId="SpecialBold">
    <w:name w:val="Special Bold"/>
    <w:basedOn w:val="DefaultParagraphFont"/>
    <w:rsid w:val="00DB15D6"/>
    <w:rPr>
      <w:b/>
      <w:spacing w:val="0"/>
    </w:rPr>
  </w:style>
  <w:style w:type="paragraph" w:styleId="ListBullet2">
    <w:name w:val="List Bullet 2"/>
    <w:basedOn w:val="List2"/>
    <w:rsid w:val="00DB15D6"/>
    <w:pPr>
      <w:numPr>
        <w:numId w:val="14"/>
      </w:numPr>
      <w:tabs>
        <w:tab w:val="clear" w:pos="680"/>
      </w:tabs>
    </w:pPr>
  </w:style>
  <w:style w:type="character" w:styleId="Emphasis">
    <w:name w:val="Emphasis"/>
    <w:basedOn w:val="DefaultParagraphFont"/>
    <w:qFormat/>
    <w:rsid w:val="00DB15D6"/>
    <w:rPr>
      <w:i/>
    </w:rPr>
  </w:style>
  <w:style w:type="paragraph" w:customStyle="1" w:styleId="SuperHeading">
    <w:name w:val="SuperHeading"/>
    <w:basedOn w:val="Normal"/>
    <w:rsid w:val="00DB15D6"/>
    <w:pPr>
      <w:spacing w:before="240" w:after="120"/>
      <w:outlineLvl w:val="0"/>
    </w:pPr>
    <w:rPr>
      <w:rFonts w:ascii="Times New Roman" w:hAnsi="Times New Roman"/>
      <w:b/>
      <w:sz w:val="32"/>
    </w:rPr>
  </w:style>
  <w:style w:type="paragraph" w:customStyle="1" w:styleId="AllowPageBreak">
    <w:name w:val="AllowPageBreak"/>
    <w:rsid w:val="00DB15D6"/>
    <w:pPr>
      <w:widowControl w:val="0"/>
      <w:spacing w:after="0" w:line="240" w:lineRule="auto"/>
    </w:pPr>
    <w:rPr>
      <w:rFonts w:ascii="Times New Roman" w:eastAsia="Times New Roman" w:hAnsi="Times New Roman" w:cs="Times New Roman"/>
      <w:noProof/>
      <w:sz w:val="2"/>
      <w:szCs w:val="20"/>
      <w:lang w:eastAsia="en-US"/>
    </w:rPr>
  </w:style>
  <w:style w:type="paragraph" w:styleId="ListContinue">
    <w:name w:val="List Continue"/>
    <w:basedOn w:val="List"/>
    <w:rsid w:val="00DB15D6"/>
    <w:pPr>
      <w:ind w:firstLine="0"/>
    </w:pPr>
  </w:style>
  <w:style w:type="paragraph" w:styleId="ListBullet3">
    <w:name w:val="List Bullet 3"/>
    <w:basedOn w:val="List3"/>
    <w:rsid w:val="00DB15D6"/>
    <w:pPr>
      <w:numPr>
        <w:numId w:val="3"/>
      </w:numPr>
      <w:tabs>
        <w:tab w:val="clear" w:pos="1021"/>
      </w:tabs>
      <w:ind w:left="1037" w:hanging="357"/>
    </w:pPr>
  </w:style>
  <w:style w:type="character" w:customStyle="1" w:styleId="Heading2Char">
    <w:name w:val="Heading 2 Char"/>
    <w:basedOn w:val="DefaultParagraphFont"/>
    <w:link w:val="Heading2"/>
    <w:rsid w:val="00DB15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15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15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15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15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15D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B15D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B15D6"/>
    <w:rPr>
      <w:rFonts w:ascii="Courier New" w:eastAsia="Times New Roman" w:hAnsi="Courier New" w:cs="Times New Roman"/>
      <w:i/>
      <w:szCs w:val="20"/>
      <w:lang w:eastAsia="en-US"/>
    </w:rPr>
  </w:style>
  <w:style w:type="paragraph" w:customStyle="1" w:styleId="HeadingBase">
    <w:name w:val="Heading Base"/>
    <w:rsid w:val="00DB15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15D6"/>
    <w:pPr>
      <w:tabs>
        <w:tab w:val="right" w:leader="dot" w:pos="9072"/>
      </w:tabs>
      <w:ind w:left="567"/>
    </w:pPr>
    <w:rPr>
      <w:szCs w:val="22"/>
    </w:rPr>
  </w:style>
  <w:style w:type="paragraph" w:customStyle="1" w:styleId="TOCBase">
    <w:name w:val="TOC Base"/>
    <w:rsid w:val="00DB15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15D6"/>
    <w:pPr>
      <w:tabs>
        <w:tab w:val="right" w:leader="dot" w:pos="9072"/>
      </w:tabs>
      <w:spacing w:before="40" w:after="40"/>
      <w:ind w:left="284"/>
    </w:pPr>
    <w:rPr>
      <w:rFonts w:ascii="Times New Roman" w:hAnsi="Times New Roman"/>
    </w:rPr>
  </w:style>
  <w:style w:type="paragraph" w:styleId="TOC1">
    <w:name w:val="toc 1"/>
    <w:basedOn w:val="TOCBase"/>
    <w:next w:val="Normal"/>
    <w:rsid w:val="00DB15D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B15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15D6"/>
    <w:rPr>
      <w:rFonts w:ascii="Times New Roman" w:eastAsia="Times New Roman" w:hAnsi="Times New Roman" w:cs="Times New Roman"/>
      <w:sz w:val="16"/>
      <w:lang w:eastAsia="en-US"/>
    </w:rPr>
  </w:style>
  <w:style w:type="paragraph" w:styleId="Title">
    <w:name w:val="Title"/>
    <w:basedOn w:val="HeadingBase"/>
    <w:link w:val="TitleChar"/>
    <w:qFormat/>
    <w:rsid w:val="00DB15D6"/>
    <w:pPr>
      <w:spacing w:before="5040"/>
      <w:jc w:val="center"/>
    </w:pPr>
    <w:rPr>
      <w:sz w:val="48"/>
      <w:szCs w:val="72"/>
      <w:lang w:val="en-US"/>
    </w:rPr>
  </w:style>
  <w:style w:type="character" w:customStyle="1" w:styleId="TitleChar">
    <w:name w:val="Title Char"/>
    <w:basedOn w:val="DefaultParagraphFont"/>
    <w:link w:val="Title"/>
    <w:rsid w:val="00DB15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15D6"/>
    <w:pPr>
      <w:tabs>
        <w:tab w:val="left" w:pos="3600"/>
        <w:tab w:val="left" w:pos="3958"/>
      </w:tabs>
    </w:pPr>
  </w:style>
  <w:style w:type="paragraph" w:styleId="List">
    <w:name w:val="List"/>
    <w:basedOn w:val="BodyText"/>
    <w:next w:val="BodyText"/>
    <w:rsid w:val="00DB15D6"/>
    <w:pPr>
      <w:tabs>
        <w:tab w:val="left" w:pos="340"/>
      </w:tabs>
      <w:spacing w:before="60" w:after="60"/>
      <w:ind w:left="340" w:hanging="340"/>
    </w:pPr>
  </w:style>
  <w:style w:type="paragraph" w:customStyle="1" w:styleId="Note">
    <w:name w:val="Note"/>
    <w:basedOn w:val="BodyText"/>
    <w:rsid w:val="00DB15D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B15D6"/>
    <w:pPr>
      <w:framePr w:wrap="auto" w:hAnchor="text" w:y="6049"/>
    </w:pPr>
    <w:rPr>
      <w:color w:val="000000"/>
      <w:sz w:val="40"/>
    </w:rPr>
  </w:style>
  <w:style w:type="paragraph" w:customStyle="1" w:styleId="TOCTitle">
    <w:name w:val="TOCTitle"/>
    <w:basedOn w:val="Heading1"/>
    <w:rsid w:val="00DB15D6"/>
    <w:pPr>
      <w:spacing w:after="240"/>
      <w:jc w:val="center"/>
      <w:outlineLvl w:val="9"/>
    </w:pPr>
    <w:rPr>
      <w:caps/>
    </w:rPr>
  </w:style>
  <w:style w:type="paragraph" w:customStyle="1" w:styleId="Version">
    <w:name w:val="Version"/>
    <w:rsid w:val="00DB15D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B15D6"/>
    <w:pPr>
      <w:keepNext w:val="0"/>
      <w:tabs>
        <w:tab w:val="right" w:pos="4176"/>
      </w:tabs>
      <w:ind w:left="198" w:hanging="198"/>
    </w:pPr>
    <w:rPr>
      <w:rFonts w:ascii="Garamond" w:hAnsi="Garamond"/>
    </w:rPr>
  </w:style>
  <w:style w:type="paragraph" w:styleId="IndexHeading">
    <w:name w:val="index heading"/>
    <w:basedOn w:val="Normal"/>
    <w:next w:val="Index1"/>
    <w:semiHidden/>
    <w:rsid w:val="00DB15D6"/>
    <w:pPr>
      <w:spacing w:before="120" w:after="120"/>
    </w:pPr>
    <w:rPr>
      <w:rFonts w:ascii="Arial" w:hAnsi="Arial"/>
      <w:b/>
      <w:color w:val="918585"/>
      <w:sz w:val="24"/>
    </w:rPr>
  </w:style>
  <w:style w:type="paragraph" w:styleId="Header">
    <w:name w:val="header"/>
    <w:basedOn w:val="Normal"/>
    <w:link w:val="HeaderChar"/>
    <w:rsid w:val="00DB15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15D6"/>
    <w:rPr>
      <w:rFonts w:ascii="Times New Roman" w:eastAsia="Times New Roman" w:hAnsi="Times New Roman" w:cs="Times New Roman"/>
      <w:sz w:val="16"/>
      <w:szCs w:val="20"/>
      <w:lang w:val="en-GB" w:eastAsia="en-US"/>
    </w:rPr>
  </w:style>
  <w:style w:type="paragraph" w:customStyle="1" w:styleId="Chapter">
    <w:name w:val="Chapter"/>
    <w:basedOn w:val="Normal"/>
    <w:rsid w:val="00DB15D6"/>
    <w:pPr>
      <w:spacing w:before="240"/>
    </w:pPr>
    <w:rPr>
      <w:rFonts w:ascii="Times New Roman" w:hAnsi="Times New Roman"/>
      <w:smallCaps/>
      <w:spacing w:val="80"/>
      <w:sz w:val="28"/>
    </w:rPr>
  </w:style>
  <w:style w:type="paragraph" w:customStyle="1" w:styleId="InChapter">
    <w:name w:val="InChapter"/>
    <w:basedOn w:val="Heading3"/>
    <w:rsid w:val="00DB15D6"/>
    <w:pPr>
      <w:spacing w:after="240"/>
      <w:outlineLvl w:val="9"/>
    </w:pPr>
    <w:rPr>
      <w:noProof/>
    </w:rPr>
  </w:style>
  <w:style w:type="paragraph" w:styleId="Index2">
    <w:name w:val="index 2"/>
    <w:basedOn w:val="Normal"/>
    <w:next w:val="Normal"/>
    <w:semiHidden/>
    <w:rsid w:val="00DB15D6"/>
    <w:pPr>
      <w:tabs>
        <w:tab w:val="right" w:pos="4176"/>
      </w:tabs>
      <w:ind w:left="568" w:hanging="284"/>
    </w:pPr>
    <w:rPr>
      <w:rFonts w:ascii="Garamond" w:hAnsi="Garamond"/>
    </w:rPr>
  </w:style>
  <w:style w:type="paragraph" w:customStyle="1" w:styleId="Byline">
    <w:name w:val="Byline"/>
    <w:rsid w:val="00DB15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15D6"/>
    <w:pPr>
      <w:tabs>
        <w:tab w:val="clear" w:pos="3600"/>
        <w:tab w:val="clear" w:pos="3958"/>
      </w:tabs>
      <w:jc w:val="right"/>
    </w:pPr>
  </w:style>
  <w:style w:type="paragraph" w:styleId="Caption">
    <w:name w:val="caption"/>
    <w:basedOn w:val="BodyText"/>
    <w:next w:val="Normal"/>
    <w:qFormat/>
    <w:rsid w:val="00DB15D6"/>
    <w:pPr>
      <w:framePr w:w="2268" w:hSpace="181" w:vSpace="181" w:wrap="around" w:vAnchor="text" w:hAnchor="page" w:x="1135" w:y="285" w:anchorLock="1"/>
    </w:pPr>
    <w:rPr>
      <w:i/>
    </w:rPr>
  </w:style>
  <w:style w:type="paragraph" w:customStyle="1" w:styleId="MiniTOCTitle">
    <w:name w:val="MiniTOCTitle"/>
    <w:basedOn w:val="Heading4"/>
    <w:rsid w:val="00DB15D6"/>
    <w:pPr>
      <w:spacing w:before="240"/>
      <w:outlineLvl w:val="9"/>
    </w:pPr>
    <w:rPr>
      <w:noProof/>
      <w:sz w:val="24"/>
    </w:rPr>
  </w:style>
  <w:style w:type="paragraph" w:customStyle="1" w:styleId="MiniTOCItem">
    <w:name w:val="MiniTOCItem"/>
    <w:basedOn w:val="ListBullet"/>
    <w:rsid w:val="00DB15D6"/>
    <w:pPr>
      <w:numPr>
        <w:numId w:val="0"/>
      </w:numPr>
      <w:tabs>
        <w:tab w:val="right" w:leader="dot" w:pos="6521"/>
      </w:tabs>
      <w:spacing w:before="0" w:after="0"/>
    </w:pPr>
  </w:style>
  <w:style w:type="paragraph" w:customStyle="1" w:styleId="TOFTitle">
    <w:name w:val="TOFTitle"/>
    <w:basedOn w:val="TOCTitle"/>
    <w:rsid w:val="00DB15D6"/>
  </w:style>
  <w:style w:type="paragraph" w:styleId="TableofFigures">
    <w:name w:val="table of figures"/>
    <w:basedOn w:val="Normal"/>
    <w:next w:val="Normal"/>
    <w:semiHidden/>
    <w:rsid w:val="00DB15D6"/>
    <w:pPr>
      <w:tabs>
        <w:tab w:val="right" w:leader="dot" w:pos="9072"/>
      </w:tabs>
      <w:ind w:left="970" w:hanging="403"/>
    </w:pPr>
    <w:rPr>
      <w:rFonts w:ascii="Times New Roman" w:hAnsi="Times New Roman"/>
      <w:b/>
    </w:rPr>
  </w:style>
  <w:style w:type="paragraph" w:styleId="ListNumber">
    <w:name w:val="List Number"/>
    <w:basedOn w:val="List"/>
    <w:rsid w:val="00DB15D6"/>
    <w:pPr>
      <w:numPr>
        <w:numId w:val="16"/>
      </w:numPr>
      <w:tabs>
        <w:tab w:val="clear" w:pos="340"/>
      </w:tabs>
    </w:pPr>
  </w:style>
  <w:style w:type="character" w:customStyle="1" w:styleId="WingdingSymbols">
    <w:name w:val="Wingding Symbols"/>
    <w:rsid w:val="00DB15D6"/>
    <w:rPr>
      <w:rFonts w:ascii="Wingdings" w:hAnsi="Wingdings"/>
    </w:rPr>
  </w:style>
  <w:style w:type="paragraph" w:customStyle="1" w:styleId="TableHeading">
    <w:name w:val="Table Heading"/>
    <w:basedOn w:val="HeadingBase"/>
    <w:rsid w:val="00DB15D6"/>
    <w:pPr>
      <w:keepLines/>
      <w:pBdr>
        <w:bottom w:val="single" w:sz="6" w:space="1" w:color="918585"/>
      </w:pBdr>
      <w:spacing w:before="240"/>
    </w:pPr>
  </w:style>
  <w:style w:type="character" w:customStyle="1" w:styleId="HotSpot">
    <w:name w:val="HotSpot"/>
    <w:rsid w:val="00DB15D6"/>
    <w:rPr>
      <w:color w:val="0033CC"/>
      <w:u w:val="none"/>
    </w:rPr>
  </w:style>
  <w:style w:type="paragraph" w:customStyle="1" w:styleId="BodyTextRight">
    <w:name w:val="Body Text Right"/>
    <w:basedOn w:val="BodyText"/>
    <w:rsid w:val="00DB15D6"/>
    <w:pPr>
      <w:spacing w:before="0" w:after="0"/>
      <w:jc w:val="right"/>
    </w:pPr>
  </w:style>
  <w:style w:type="paragraph" w:styleId="Index3">
    <w:name w:val="index 3"/>
    <w:basedOn w:val="ListNumber2"/>
    <w:next w:val="Normal"/>
    <w:semiHidden/>
    <w:rsid w:val="00DB15D6"/>
    <w:pPr>
      <w:numPr>
        <w:numId w:val="0"/>
      </w:numPr>
      <w:tabs>
        <w:tab w:val="right" w:leader="dot" w:pos="4176"/>
      </w:tabs>
    </w:pPr>
  </w:style>
  <w:style w:type="paragraph" w:styleId="ListNumber2">
    <w:name w:val="List Number 2"/>
    <w:basedOn w:val="List2"/>
    <w:rsid w:val="00DB15D6"/>
    <w:pPr>
      <w:numPr>
        <w:numId w:val="11"/>
      </w:numPr>
      <w:tabs>
        <w:tab w:val="clear" w:pos="1060"/>
      </w:tabs>
    </w:pPr>
  </w:style>
  <w:style w:type="paragraph" w:customStyle="1" w:styleId="MarginNote">
    <w:name w:val="Margin Note"/>
    <w:basedOn w:val="BodyText"/>
    <w:rsid w:val="00DB15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15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15D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B15D6"/>
    <w:rPr>
      <w:sz w:val="32"/>
    </w:rPr>
  </w:style>
  <w:style w:type="paragraph" w:customStyle="1" w:styleId="HeadingProcedure">
    <w:name w:val="Heading Procedure"/>
    <w:basedOn w:val="HeadingBase"/>
    <w:next w:val="Normal"/>
    <w:rsid w:val="00DB15D6"/>
    <w:pPr>
      <w:tabs>
        <w:tab w:val="left" w:pos="0"/>
      </w:tabs>
      <w:spacing w:before="120" w:after="60"/>
    </w:pPr>
    <w:rPr>
      <w:i/>
      <w:color w:val="918585"/>
      <w:sz w:val="22"/>
    </w:rPr>
  </w:style>
  <w:style w:type="paragraph" w:customStyle="1" w:styleId="TableBodyText">
    <w:name w:val="Table Body Text"/>
    <w:basedOn w:val="BodyText"/>
    <w:rsid w:val="00DB15D6"/>
    <w:pPr>
      <w:spacing w:before="60" w:after="60"/>
    </w:pPr>
  </w:style>
  <w:style w:type="paragraph" w:customStyle="1" w:styleId="ListNote">
    <w:name w:val="List Note"/>
    <w:basedOn w:val="List"/>
    <w:rsid w:val="00DB15D6"/>
    <w:pPr>
      <w:pBdr>
        <w:top w:val="single" w:sz="6" w:space="2" w:color="918585"/>
        <w:bottom w:val="single" w:sz="6" w:space="2" w:color="918585"/>
      </w:pBdr>
      <w:tabs>
        <w:tab w:val="left" w:pos="1021"/>
      </w:tabs>
      <w:ind w:firstLine="0"/>
    </w:pPr>
  </w:style>
  <w:style w:type="paragraph" w:customStyle="1" w:styleId="Warning">
    <w:name w:val="Warning"/>
    <w:basedOn w:val="BodyText"/>
    <w:rsid w:val="00DB15D6"/>
    <w:pPr>
      <w:shd w:val="clear" w:color="auto" w:fill="D9D9D9"/>
      <w:tabs>
        <w:tab w:val="left" w:pos="992"/>
      </w:tabs>
      <w:ind w:left="119" w:right="119"/>
    </w:pPr>
    <w:rPr>
      <w:sz w:val="20"/>
    </w:rPr>
  </w:style>
  <w:style w:type="paragraph" w:customStyle="1" w:styleId="MarginIcons">
    <w:name w:val="Margin Icons"/>
    <w:basedOn w:val="BodyText"/>
    <w:rsid w:val="00DB15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15D6"/>
    <w:rPr>
      <w:rFonts w:ascii="Courier New" w:hAnsi="Courier New"/>
    </w:rPr>
  </w:style>
  <w:style w:type="paragraph" w:customStyle="1" w:styleId="NoteBullet">
    <w:name w:val="Note Bullet"/>
    <w:basedOn w:val="Note"/>
    <w:rsid w:val="00DB15D6"/>
    <w:pPr>
      <w:tabs>
        <w:tab w:val="clear" w:pos="680"/>
      </w:tabs>
      <w:spacing w:before="60" w:after="60"/>
    </w:pPr>
  </w:style>
  <w:style w:type="paragraph" w:customStyle="1" w:styleId="SubHeading2">
    <w:name w:val="SubHeading2"/>
    <w:basedOn w:val="HeadingBase"/>
    <w:rsid w:val="00DB15D6"/>
    <w:pPr>
      <w:spacing w:before="240" w:after="60"/>
    </w:pPr>
    <w:rPr>
      <w:sz w:val="20"/>
    </w:rPr>
  </w:style>
  <w:style w:type="paragraph" w:customStyle="1" w:styleId="SubHeading1">
    <w:name w:val="SubHeading1"/>
    <w:basedOn w:val="HeadingBase"/>
    <w:rsid w:val="00DB15D6"/>
    <w:pPr>
      <w:spacing w:before="240" w:after="60"/>
    </w:pPr>
    <w:rPr>
      <w:color w:val="918585"/>
      <w:sz w:val="22"/>
    </w:rPr>
  </w:style>
  <w:style w:type="paragraph" w:customStyle="1" w:styleId="SideHeading">
    <w:name w:val="Side Heading"/>
    <w:basedOn w:val="HeadingBase"/>
    <w:rsid w:val="00DB15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15D6"/>
    <w:pPr>
      <w:numPr>
        <w:numId w:val="12"/>
      </w:numPr>
    </w:pPr>
  </w:style>
  <w:style w:type="paragraph" w:styleId="PlainText">
    <w:name w:val="Plain Text"/>
    <w:basedOn w:val="Normal"/>
    <w:link w:val="PlainTextChar"/>
    <w:rsid w:val="00DB15D6"/>
    <w:rPr>
      <w:sz w:val="20"/>
    </w:rPr>
  </w:style>
  <w:style w:type="character" w:customStyle="1" w:styleId="PlainTextChar">
    <w:name w:val="Plain Text Char"/>
    <w:basedOn w:val="DefaultParagraphFont"/>
    <w:link w:val="PlainText"/>
    <w:rsid w:val="00DB15D6"/>
    <w:rPr>
      <w:rFonts w:ascii="Courier New" w:eastAsia="Times New Roman" w:hAnsi="Courier New" w:cs="Times New Roman"/>
      <w:sz w:val="20"/>
      <w:szCs w:val="20"/>
      <w:lang w:eastAsia="en-US"/>
    </w:rPr>
  </w:style>
  <w:style w:type="character" w:customStyle="1" w:styleId="MenuOption">
    <w:name w:val="Menu Option"/>
    <w:basedOn w:val="DefaultParagraphFont"/>
    <w:rsid w:val="00DB15D6"/>
    <w:rPr>
      <w:b/>
      <w:smallCaps/>
    </w:rPr>
  </w:style>
  <w:style w:type="paragraph" w:customStyle="1" w:styleId="TableListNumber">
    <w:name w:val="Table List Number"/>
    <w:basedOn w:val="ListNumber"/>
    <w:rsid w:val="00DB15D6"/>
    <w:pPr>
      <w:numPr>
        <w:numId w:val="0"/>
      </w:numPr>
    </w:pPr>
  </w:style>
  <w:style w:type="paragraph" w:styleId="TOC4">
    <w:name w:val="toc 4"/>
    <w:basedOn w:val="TOCBase"/>
    <w:next w:val="Normal"/>
    <w:semiHidden/>
    <w:rsid w:val="00DB15D6"/>
    <w:pPr>
      <w:tabs>
        <w:tab w:val="right" w:leader="dot" w:pos="9071"/>
      </w:tabs>
      <w:ind w:left="1701"/>
    </w:pPr>
  </w:style>
  <w:style w:type="paragraph" w:customStyle="1" w:styleId="ListAlpha">
    <w:name w:val="List Alpha"/>
    <w:basedOn w:val="List"/>
    <w:rsid w:val="00DB15D6"/>
    <w:pPr>
      <w:numPr>
        <w:numId w:val="10"/>
      </w:numPr>
    </w:pPr>
  </w:style>
  <w:style w:type="paragraph" w:customStyle="1" w:styleId="ListAlpha2">
    <w:name w:val="List Alpha 2"/>
    <w:basedOn w:val="List2"/>
    <w:rsid w:val="00DB15D6"/>
    <w:pPr>
      <w:numPr>
        <w:numId w:val="9"/>
      </w:numPr>
    </w:pPr>
  </w:style>
  <w:style w:type="paragraph" w:styleId="List2">
    <w:name w:val="List 2"/>
    <w:basedOn w:val="BodyText"/>
    <w:rsid w:val="00DB15D6"/>
    <w:pPr>
      <w:tabs>
        <w:tab w:val="left" w:pos="680"/>
      </w:tabs>
      <w:spacing w:before="60" w:after="60"/>
      <w:ind w:left="680" w:hanging="340"/>
    </w:pPr>
  </w:style>
  <w:style w:type="paragraph" w:styleId="List3">
    <w:name w:val="List 3"/>
    <w:basedOn w:val="BodyText"/>
    <w:rsid w:val="00DB15D6"/>
    <w:pPr>
      <w:tabs>
        <w:tab w:val="left" w:pos="1021"/>
      </w:tabs>
      <w:spacing w:before="60" w:after="60"/>
      <w:ind w:left="1020" w:hanging="340"/>
    </w:pPr>
  </w:style>
  <w:style w:type="paragraph" w:styleId="List4">
    <w:name w:val="List 4"/>
    <w:basedOn w:val="BodyText"/>
    <w:rsid w:val="00DB15D6"/>
    <w:pPr>
      <w:tabs>
        <w:tab w:val="left" w:pos="1361"/>
      </w:tabs>
      <w:spacing w:before="60" w:after="60"/>
      <w:ind w:left="1361" w:hanging="340"/>
    </w:pPr>
  </w:style>
  <w:style w:type="paragraph" w:styleId="List5">
    <w:name w:val="List 5"/>
    <w:basedOn w:val="BodyText"/>
    <w:rsid w:val="00DB15D6"/>
    <w:pPr>
      <w:tabs>
        <w:tab w:val="left" w:pos="1701"/>
      </w:tabs>
      <w:spacing w:before="60" w:after="60"/>
      <w:ind w:left="1701" w:hanging="340"/>
    </w:pPr>
  </w:style>
  <w:style w:type="paragraph" w:styleId="ListBullet4">
    <w:name w:val="List Bullet 4"/>
    <w:basedOn w:val="List4"/>
    <w:rsid w:val="00DB15D6"/>
    <w:pPr>
      <w:numPr>
        <w:numId w:val="4"/>
      </w:numPr>
      <w:tabs>
        <w:tab w:val="clear" w:pos="1361"/>
      </w:tabs>
    </w:pPr>
  </w:style>
  <w:style w:type="paragraph" w:styleId="ListBullet5">
    <w:name w:val="List Bullet 5"/>
    <w:basedOn w:val="List5"/>
    <w:rsid w:val="00DB15D6"/>
    <w:pPr>
      <w:numPr>
        <w:numId w:val="5"/>
      </w:numPr>
    </w:pPr>
  </w:style>
  <w:style w:type="paragraph" w:styleId="ListContinue2">
    <w:name w:val="List Continue 2"/>
    <w:basedOn w:val="List2"/>
    <w:rsid w:val="00DB15D6"/>
    <w:pPr>
      <w:ind w:firstLine="0"/>
    </w:pPr>
  </w:style>
  <w:style w:type="paragraph" w:styleId="ListContinue3">
    <w:name w:val="List Continue 3"/>
    <w:basedOn w:val="List3"/>
    <w:rsid w:val="00DB15D6"/>
    <w:pPr>
      <w:ind w:left="1021" w:firstLine="0"/>
    </w:pPr>
  </w:style>
  <w:style w:type="paragraph" w:styleId="ListContinue4">
    <w:name w:val="List Continue 4"/>
    <w:basedOn w:val="List4"/>
    <w:rsid w:val="00DB15D6"/>
    <w:pPr>
      <w:ind w:firstLine="0"/>
    </w:pPr>
  </w:style>
  <w:style w:type="paragraph" w:styleId="ListContinue5">
    <w:name w:val="List Continue 5"/>
    <w:basedOn w:val="List5"/>
    <w:rsid w:val="00DB15D6"/>
    <w:pPr>
      <w:ind w:firstLine="0"/>
    </w:pPr>
  </w:style>
  <w:style w:type="paragraph" w:styleId="ListNumber3">
    <w:name w:val="List Number 3"/>
    <w:basedOn w:val="List3"/>
    <w:rsid w:val="00DB15D6"/>
    <w:pPr>
      <w:numPr>
        <w:numId w:val="6"/>
      </w:numPr>
    </w:pPr>
  </w:style>
  <w:style w:type="paragraph" w:styleId="ListNumber4">
    <w:name w:val="List Number 4"/>
    <w:basedOn w:val="List4"/>
    <w:rsid w:val="00DB15D6"/>
    <w:pPr>
      <w:numPr>
        <w:numId w:val="7"/>
      </w:numPr>
    </w:pPr>
  </w:style>
  <w:style w:type="paragraph" w:styleId="ListNumber5">
    <w:name w:val="List Number 5"/>
    <w:basedOn w:val="List5"/>
    <w:rsid w:val="00DB15D6"/>
    <w:pPr>
      <w:numPr>
        <w:numId w:val="8"/>
      </w:numPr>
    </w:pPr>
  </w:style>
  <w:style w:type="paragraph" w:styleId="BlockText">
    <w:name w:val="Block Text"/>
    <w:basedOn w:val="Normal"/>
    <w:rsid w:val="00DB15D6"/>
    <w:pPr>
      <w:spacing w:after="120"/>
      <w:ind w:left="1440" w:right="1440"/>
    </w:pPr>
  </w:style>
  <w:style w:type="character" w:customStyle="1" w:styleId="Subscript">
    <w:name w:val="Subscript"/>
    <w:basedOn w:val="DefaultParagraphFont"/>
    <w:rsid w:val="00DB15D6"/>
    <w:rPr>
      <w:sz w:val="16"/>
      <w:vertAlign w:val="subscript"/>
    </w:rPr>
  </w:style>
  <w:style w:type="character" w:customStyle="1" w:styleId="Superscript">
    <w:name w:val="Superscript"/>
    <w:basedOn w:val="DefaultParagraphFont"/>
    <w:rsid w:val="00DB15D6"/>
    <w:rPr>
      <w:sz w:val="16"/>
      <w:vertAlign w:val="superscript"/>
    </w:rPr>
  </w:style>
  <w:style w:type="character" w:customStyle="1" w:styleId="Symbols">
    <w:name w:val="Symbols"/>
    <w:basedOn w:val="DefaultParagraphFont"/>
    <w:rsid w:val="00DB15D6"/>
    <w:rPr>
      <w:rFonts w:ascii="Symbol" w:hAnsi="Symbol"/>
    </w:rPr>
  </w:style>
  <w:style w:type="character" w:customStyle="1" w:styleId="MenuOptions">
    <w:name w:val="Menu Options"/>
    <w:basedOn w:val="DefaultParagraphFont"/>
    <w:rsid w:val="00DB15D6"/>
    <w:rPr>
      <w:rFonts w:ascii="Arial Narrow" w:hAnsi="Arial Narrow"/>
      <w:smallCaps/>
    </w:rPr>
  </w:style>
  <w:style w:type="character" w:customStyle="1" w:styleId="Buttons">
    <w:name w:val="Buttons"/>
    <w:basedOn w:val="DefaultParagraphFont"/>
    <w:rsid w:val="00DB15D6"/>
    <w:rPr>
      <w:b/>
    </w:rPr>
  </w:style>
  <w:style w:type="character" w:customStyle="1" w:styleId="Underlined">
    <w:name w:val="Underlined"/>
    <w:basedOn w:val="DefaultParagraphFont"/>
    <w:rsid w:val="00DB15D6"/>
    <w:rPr>
      <w:u w:val="single"/>
    </w:rPr>
  </w:style>
  <w:style w:type="paragraph" w:customStyle="1" w:styleId="TableBodyTextRight">
    <w:name w:val="Table Body Text Right"/>
    <w:basedOn w:val="TableBodyText"/>
    <w:rsid w:val="00DB15D6"/>
    <w:pPr>
      <w:widowControl w:val="0"/>
      <w:autoSpaceDE w:val="0"/>
      <w:autoSpaceDN w:val="0"/>
      <w:adjustRightInd w:val="0"/>
      <w:jc w:val="right"/>
    </w:pPr>
    <w:rPr>
      <w:rFonts w:cs="Arial"/>
      <w:szCs w:val="18"/>
    </w:rPr>
  </w:style>
  <w:style w:type="paragraph" w:customStyle="1" w:styleId="CopyrightText">
    <w:name w:val="Copyright Text"/>
    <w:basedOn w:val="BodyText"/>
    <w:rsid w:val="00DB15D6"/>
    <w:rPr>
      <w:sz w:val="18"/>
    </w:rPr>
  </w:style>
  <w:style w:type="paragraph" w:customStyle="1" w:styleId="BodySmallRight">
    <w:name w:val="Body Small Right"/>
    <w:basedOn w:val="BodyTextRight"/>
    <w:rsid w:val="00DB15D6"/>
    <w:rPr>
      <w:sz w:val="18"/>
      <w:szCs w:val="18"/>
    </w:rPr>
  </w:style>
  <w:style w:type="paragraph" w:customStyle="1" w:styleId="MarginEdition">
    <w:name w:val="Margin Edition"/>
    <w:basedOn w:val="MarginNote"/>
    <w:rsid w:val="00DB15D6"/>
    <w:pPr>
      <w:spacing w:before="0" w:after="0"/>
    </w:pPr>
    <w:rPr>
      <w:rFonts w:ascii="Times New Roman" w:hAnsi="Times New Roman"/>
      <w:color w:val="999999"/>
    </w:rPr>
  </w:style>
  <w:style w:type="paragraph" w:customStyle="1" w:styleId="Spacer">
    <w:name w:val="Spacer"/>
    <w:basedOn w:val="Normal"/>
    <w:rsid w:val="00DB15D6"/>
    <w:rPr>
      <w:sz w:val="2"/>
      <w:szCs w:val="2"/>
    </w:rPr>
  </w:style>
  <w:style w:type="character" w:customStyle="1" w:styleId="Small">
    <w:name w:val="Small"/>
    <w:basedOn w:val="DefaultParagraphFont"/>
    <w:rsid w:val="00DB15D6"/>
    <w:rPr>
      <w:sz w:val="16"/>
    </w:rPr>
  </w:style>
  <w:style w:type="paragraph" w:customStyle="1" w:styleId="WideTable">
    <w:name w:val="Wide Table"/>
    <w:basedOn w:val="Normal"/>
    <w:rsid w:val="00DB15D6"/>
    <w:pPr>
      <w:ind w:left="-1418"/>
    </w:pPr>
    <w:rPr>
      <w:sz w:val="2"/>
      <w:szCs w:val="2"/>
    </w:rPr>
  </w:style>
  <w:style w:type="character" w:styleId="PageNumber">
    <w:name w:val="page number"/>
    <w:basedOn w:val="DefaultParagraphFont"/>
    <w:rsid w:val="00DB15D6"/>
  </w:style>
  <w:style w:type="paragraph" w:styleId="Quote">
    <w:name w:val="Quote"/>
    <w:basedOn w:val="Heading1"/>
    <w:link w:val="QuoteChar"/>
    <w:qFormat/>
    <w:rsid w:val="00DB15D6"/>
    <w:rPr>
      <w:b w:val="0"/>
      <w:sz w:val="72"/>
      <w:szCs w:val="72"/>
      <w:lang w:val="en-NZ"/>
    </w:rPr>
  </w:style>
  <w:style w:type="character" w:customStyle="1" w:styleId="QuoteChar">
    <w:name w:val="Quote Char"/>
    <w:basedOn w:val="DefaultParagraphFont"/>
    <w:link w:val="Quote"/>
    <w:rsid w:val="00DB15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15D6"/>
    <w:pPr>
      <w:pageBreakBefore/>
    </w:pPr>
  </w:style>
  <w:style w:type="paragraph" w:customStyle="1" w:styleId="Border">
    <w:name w:val="Border"/>
    <w:basedOn w:val="Normal"/>
    <w:qFormat/>
    <w:rsid w:val="00DB15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15D6"/>
    <w:rPr>
      <w:b/>
      <w:bCs/>
      <w:i/>
      <w:iCs/>
      <w:color w:val="auto"/>
    </w:rPr>
  </w:style>
  <w:style w:type="paragraph" w:styleId="IntenseQuote">
    <w:name w:val="Intense Quote"/>
    <w:basedOn w:val="Normal"/>
    <w:next w:val="Normal"/>
    <w:link w:val="IntenseQuoteChar"/>
    <w:uiPriority w:val="30"/>
    <w:qFormat/>
    <w:rsid w:val="00DB15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15D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B15D6"/>
    <w:rPr>
      <w:smallCaps/>
      <w:color w:val="auto"/>
      <w:u w:val="single"/>
    </w:rPr>
  </w:style>
  <w:style w:type="character" w:styleId="IntenseReference">
    <w:name w:val="Intense Reference"/>
    <w:basedOn w:val="DefaultParagraphFont"/>
    <w:uiPriority w:val="32"/>
    <w:qFormat/>
    <w:rsid w:val="00DB15D6"/>
    <w:rPr>
      <w:b/>
      <w:bCs/>
      <w:smallCaps/>
      <w:color w:val="auto"/>
      <w:spacing w:val="5"/>
      <w:u w:val="single"/>
    </w:rPr>
  </w:style>
  <w:style w:type="paragraph" w:customStyle="1" w:styleId="2ColumnHeading">
    <w:name w:val="2Column Heading"/>
    <w:basedOn w:val="BodyText"/>
    <w:qFormat/>
    <w:rsid w:val="00DB15D6"/>
    <w:pPr>
      <w:spacing w:after="60"/>
      <w:ind w:left="-2268"/>
    </w:pPr>
    <w:rPr>
      <w:b/>
    </w:rPr>
  </w:style>
  <w:style w:type="paragraph" w:customStyle="1" w:styleId="Heading1TOC">
    <w:name w:val="Heading1 TOC"/>
    <w:basedOn w:val="Normal"/>
    <w:qFormat/>
    <w:rsid w:val="00DB15D6"/>
    <w:pPr>
      <w:spacing w:before="240" w:after="120"/>
    </w:pPr>
    <w:rPr>
      <w:rFonts w:ascii="Times New Roman" w:hAnsi="Times New Roman"/>
      <w:b/>
      <w:sz w:val="32"/>
    </w:rPr>
  </w:style>
  <w:style w:type="paragraph" w:customStyle="1" w:styleId="Heading2TOC">
    <w:name w:val="Heading2 TOC"/>
    <w:basedOn w:val="Normal"/>
    <w:qFormat/>
    <w:rsid w:val="00DB15D6"/>
    <w:pPr>
      <w:spacing w:before="240" w:after="60"/>
    </w:pPr>
    <w:rPr>
      <w:rFonts w:ascii="Times New Roman" w:hAnsi="Times New Roman"/>
      <w:b/>
      <w:sz w:val="28"/>
    </w:rPr>
  </w:style>
  <w:style w:type="character" w:customStyle="1" w:styleId="Underline">
    <w:name w:val="Underline"/>
    <w:basedOn w:val="DefaultParagraphFont"/>
    <w:qFormat/>
    <w:rsid w:val="00DB15D6"/>
    <w:rPr>
      <w:u w:val="single"/>
    </w:rPr>
  </w:style>
  <w:style w:type="character" w:customStyle="1" w:styleId="BoldandItalics">
    <w:name w:val="Bold and Italics"/>
    <w:qFormat/>
    <w:rsid w:val="00DB15D6"/>
    <w:rPr>
      <w:b/>
      <w:i/>
      <w:u w:val="none"/>
    </w:rPr>
  </w:style>
  <w:style w:type="paragraph" w:styleId="BalloonText">
    <w:name w:val="Balloon Text"/>
    <w:basedOn w:val="Normal"/>
    <w:link w:val="BalloonTextChar"/>
    <w:rsid w:val="00DB15D6"/>
    <w:rPr>
      <w:rFonts w:ascii="Tahoma" w:hAnsi="Tahoma" w:cs="Tahoma"/>
      <w:sz w:val="16"/>
      <w:szCs w:val="16"/>
    </w:rPr>
  </w:style>
  <w:style w:type="character" w:customStyle="1" w:styleId="BalloonTextChar">
    <w:name w:val="Balloon Text Char"/>
    <w:basedOn w:val="DefaultParagraphFont"/>
    <w:link w:val="BalloonText"/>
    <w:rsid w:val="00DB15D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B15D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B15D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B15D6"/>
    <w:rPr>
      <w:b/>
      <w:color w:val="660033"/>
      <w:spacing w:val="0"/>
    </w:rPr>
  </w:style>
  <w:style w:type="paragraph" w:customStyle="1" w:styleId="Nameditemlist">
    <w:name w:val="Named item list"/>
    <w:basedOn w:val="BodyText"/>
    <w:qFormat/>
    <w:rsid w:val="00DB15D6"/>
    <w:pPr>
      <w:tabs>
        <w:tab w:val="left" w:pos="2835"/>
      </w:tabs>
      <w:ind w:left="2835" w:hanging="2835"/>
    </w:pPr>
  </w:style>
  <w:style w:type="paragraph" w:customStyle="1" w:styleId="BodyTextnopadding">
    <w:name w:val="Body Text no padding"/>
    <w:basedOn w:val="BodyText"/>
    <w:qFormat/>
    <w:rsid w:val="00DB15D6"/>
    <w:pPr>
      <w:spacing w:before="0" w:after="0"/>
    </w:pPr>
  </w:style>
  <w:style w:type="paragraph" w:customStyle="1" w:styleId="BodyTextBold">
    <w:name w:val="Body Text Bold"/>
    <w:basedOn w:val="BodyText"/>
    <w:qFormat/>
    <w:rsid w:val="00DB15D6"/>
    <w:rPr>
      <w:b/>
    </w:rPr>
  </w:style>
  <w:style w:type="character" w:styleId="Hyperlink">
    <w:name w:val="Hyperlink"/>
    <w:basedOn w:val="DefaultParagraphFont"/>
    <w:uiPriority w:val="99"/>
    <w:unhideWhenUsed/>
    <w:rsid w:val="005F327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1720</Words>
  <Characters>11187</Characters>
  <Application>Microsoft Office Word</Application>
  <DocSecurity>0</DocSecurity>
  <Lines>329</Lines>
  <Paragraphs>211</Paragraphs>
  <ScaleCrop>false</ScaleCrop>
  <Company>Author-it Software Corporation Ltd.</Company>
  <LinksUpToDate>false</LinksUpToDate>
  <CharactersWithSpaces>12696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HLTPHA007 Conduct small-scale compounding and labelling of aseptic pharmaceutical products</dc:title>
  <dc:subject>Approved</dc:subject>
  <dc:creator>HumanAbility</dc:creator>
  <cp:keywords>Release: 1</cp:keywords>
  <dc:description>Review Date: 12 April 2008</dc:description>
  <cp:lastModifiedBy>HSD_TPCMSd.prod</cp:lastModifiedBy>
  <cp:revision>3</cp:revision>
  <dcterms:created xsi:type="dcterms:W3CDTF">2025-03-02T01:32:00Z</dcterms:created>
  <dcterms:modified xsi:type="dcterms:W3CDTF">2025-03-02T01:32:00Z</dcterms:modified>
</cp:coreProperties>
</file>