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040" w:rsidP="007D7040">
      <w:pPr>
        <w:pStyle w:val="Title"/>
      </w:pPr>
      <w:r>
        <w:fldChar w:fldCharType="begin"/>
      </w:r>
      <w:r>
        <w:instrText xml:space="preserve"> TITLE   \* MERGEFORMAT </w:instrText>
      </w:r>
      <w:r>
        <w:fldChar w:fldCharType="separate"/>
      </w:r>
      <w:r>
        <w:t>Assessment Requirements for HLTPHA005 Conduct small scale compounding and labelling of pharmaceutical products</w:t>
      </w:r>
      <w:r>
        <w:fldChar w:fldCharType="end"/>
      </w:r>
    </w:p>
    <w:p w:rsidR="007D7040" w:rsidP="007D7040">
      <w:pPr>
        <w:pStyle w:val="Version"/>
        <w:sectPr w:rsidSect="00085C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C52" w:rsidP="00085C52">
      <w:pPr>
        <w:pStyle w:val="SuperHeading"/>
      </w:pPr>
      <w:r w:rsidRPr="00085C52">
        <w:t>Assessment Requirements for HLTPHA005 Conduct small scale compounding and labelling of pharmaceutical products</w:t>
      </w:r>
    </w:p>
    <w:p w:rsidR="00000000" w:rsidRPr="00085C52" w:rsidP="00085C52">
      <w:pPr>
        <w:pStyle w:val="Heading1"/>
      </w:pPr>
      <w:bookmarkStart w:id="1" w:name="O_657223"/>
      <w:bookmarkEnd w:id="1"/>
      <w:r w:rsidRPr="00085C52">
        <w:t>Modification History</w:t>
      </w:r>
    </w:p>
    <w:tbl>
      <w:tblPr>
        <w:tblW w:w="0" w:type="auto"/>
        <w:tblLayout w:type="fixed"/>
        <w:tblCellMar>
          <w:left w:w="62" w:type="dxa"/>
          <w:right w:w="62" w:type="dxa"/>
        </w:tblCellMar>
        <w:tblLook w:val="0000"/>
      </w:tblPr>
      <w:tblGrid>
        <w:gridCol w:w="2790"/>
        <w:gridCol w:w="6344"/>
      </w:tblGrid>
      <w:tr w:rsidTr="00085C5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C52" w:rsidP="00085C52">
            <w:pPr>
              <w:pStyle w:val="BodyText"/>
            </w:pPr>
            <w:r w:rsidRPr="00085C5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C52">
            <w:pPr>
              <w:pStyle w:val="BodyText"/>
              <w:rPr>
                <w:lang w:val="en-NZ"/>
              </w:rPr>
            </w:pPr>
            <w:r w:rsidRPr="00085C52">
              <w:rPr>
                <w:rStyle w:val="SpecialBold"/>
              </w:rPr>
              <w:t>Comments</w:t>
            </w:r>
          </w:p>
        </w:tc>
      </w:tr>
      <w:tr w:rsidTr="00085C5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C52">
            <w:pPr>
              <w:pStyle w:val="BodyText"/>
              <w:rPr>
                <w:lang w:val="en-NZ"/>
              </w:rPr>
            </w:pPr>
            <w:r w:rsidRPr="00085C5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C52" w:rsidP="00085C52">
            <w:pPr>
              <w:pStyle w:val="BodyText"/>
            </w:pPr>
            <w:r w:rsidRPr="00085C52">
              <w:t xml:space="preserve">This version was released in </w:t>
            </w:r>
            <w:r w:rsidRPr="00085C52">
              <w:rPr>
                <w:rStyle w:val="Emphasis"/>
              </w:rPr>
              <w:t>HLT Health Training Package release 2.0</w:t>
            </w:r>
            <w:r w:rsidRPr="00085C52">
              <w:t xml:space="preserve"> and meets the requirements of the 2012 Standards for Training Packages.</w:t>
            </w:r>
          </w:p>
          <w:p w:rsidR="00000000" w:rsidRPr="00085C52" w:rsidP="00085C52">
            <w:pPr>
              <w:pStyle w:val="BodyText"/>
            </w:pPr>
            <w:r w:rsidRPr="00085C52">
              <w:t>Minimal changes to the elements and performance criteria. New evidence requirements for assessment, including volume and frequency. Significant changes to knowledge evidence.</w:t>
            </w:r>
          </w:p>
        </w:tc>
      </w:tr>
    </w:tbl>
    <w:p w:rsidR="007D7040" w:rsidP="00085C52">
      <w:pPr>
        <w:pStyle w:val="BodyText"/>
      </w:pPr>
    </w:p>
    <w:p w:rsidR="007D7040" w:rsidP="00085C52">
      <w:pPr>
        <w:pStyle w:val="BodyText"/>
      </w:pPr>
    </w:p>
    <w:p w:rsidR="00000000" w:rsidRPr="00085C52" w:rsidP="00085C52">
      <w:pPr>
        <w:pStyle w:val="Heading1"/>
      </w:pPr>
      <w:bookmarkStart w:id="2" w:name="O_657224"/>
      <w:bookmarkEnd w:id="2"/>
      <w:r w:rsidRPr="00085C52">
        <w:t>Performance Evidence</w:t>
      </w:r>
    </w:p>
    <w:p w:rsidR="00000000" w:rsidRPr="00085C52" w:rsidP="007D7040">
      <w:pPr>
        <w:pStyle w:val="BodyText"/>
      </w:pPr>
      <w:r w:rsidRPr="00085C52">
        <w:t>The candidate must show evidence of the ability to complete tasks outlined in elements and performance criteria of this unit, manage tasks and manage contingencies in the context of the job role. There must be evidence that</w:t>
      </w:r>
      <w:r w:rsidRPr="00085C52">
        <w:t xml:space="preserve"> the candidate has:</w:t>
      </w:r>
    </w:p>
    <w:p w:rsidR="00000000" w:rsidRPr="00085C52" w:rsidP="00085C52">
      <w:pPr>
        <w:pStyle w:val="ListBullet"/>
      </w:pPr>
      <w:r w:rsidRPr="00085C52">
        <w:t xml:space="preserve">followed workplace procedures and industry codes to correctly and safely compound and label at least 5 different batches of pharmaceutical products listed in the </w:t>
      </w:r>
      <w:r w:rsidRPr="00085C52">
        <w:rPr>
          <w:rStyle w:val="Emphasis"/>
        </w:rPr>
        <w:t xml:space="preserve">Australian pharmaceutical formulary and handbook </w:t>
      </w:r>
      <w:r w:rsidRPr="00085C52">
        <w:t>(APF)</w:t>
      </w:r>
    </w:p>
    <w:p w:rsidR="00000000" w:rsidRPr="00085C52" w:rsidP="00085C52">
      <w:pPr>
        <w:pStyle w:val="ListBullet"/>
      </w:pPr>
      <w:r w:rsidRPr="00085C52">
        <w:t xml:space="preserve">identified issues </w:t>
      </w:r>
      <w:r w:rsidRPr="00085C52">
        <w:t>outside scope of own practice and referred to the authorised person</w:t>
      </w:r>
    </w:p>
    <w:p w:rsidR="00000000" w:rsidRPr="00085C52" w:rsidP="00085C52">
      <w:pPr>
        <w:pStyle w:val="AllowPageBreak"/>
      </w:pPr>
    </w:p>
    <w:p w:rsidR="00000000" w:rsidRPr="00085C52" w:rsidP="00085C52">
      <w:pPr>
        <w:pStyle w:val="Heading1"/>
      </w:pPr>
      <w:bookmarkStart w:id="3" w:name="O_657225"/>
      <w:bookmarkEnd w:id="3"/>
      <w:r w:rsidRPr="00085C52">
        <w:t>Knowledge Evidence</w:t>
      </w:r>
    </w:p>
    <w:p w:rsidR="00000000" w:rsidRPr="00085C52" w:rsidP="007D7040">
      <w:pPr>
        <w:pStyle w:val="BodyText"/>
      </w:pPr>
      <w:r w:rsidRPr="00085C52">
        <w:t xml:space="preserve">The candidate must be able to demonstrate essential knowledge required to effectively complete tasks outlined in elements and performance criteria of </w:t>
      </w:r>
      <w:r w:rsidRPr="00085C52">
        <w:t>this unit, manage tasks and manage contingencies in the context of the work role. This includes knowledge of:</w:t>
      </w:r>
    </w:p>
    <w:p w:rsidR="00000000" w:rsidRPr="00085C52" w:rsidP="00085C52">
      <w:pPr>
        <w:pStyle w:val="ListBullet"/>
      </w:pPr>
      <w:r w:rsidRPr="00085C52">
        <w:t>legal and ethical requirements (national, state/territory) for pharmacy work, and how these are applied in organisations, including:</w:t>
      </w:r>
    </w:p>
    <w:p w:rsidR="00000000" w:rsidRPr="00085C52" w:rsidP="00085C52">
      <w:pPr>
        <w:pStyle w:val="ListBullet2"/>
      </w:pPr>
      <w:r w:rsidRPr="00085C52">
        <w:t>codes of co</w:t>
      </w:r>
      <w:r w:rsidRPr="00085C52">
        <w:t>nduct</w:t>
      </w:r>
    </w:p>
    <w:p w:rsidR="00000000" w:rsidRPr="00085C52" w:rsidP="00085C52">
      <w:pPr>
        <w:pStyle w:val="ListBullet2"/>
      </w:pPr>
      <w:r w:rsidRPr="00085C52">
        <w:t>duty of care (and implications of negligence)</w:t>
      </w:r>
    </w:p>
    <w:p w:rsidR="00000000" w:rsidRPr="00085C52" w:rsidP="00085C52">
      <w:pPr>
        <w:pStyle w:val="ListBullet2"/>
      </w:pPr>
      <w:r w:rsidRPr="00085C52">
        <w:t>privacy, confidentiality and disclosure</w:t>
      </w:r>
    </w:p>
    <w:p w:rsidR="00000000" w:rsidRPr="00085C52" w:rsidP="00085C52">
      <w:pPr>
        <w:pStyle w:val="ListBullet2"/>
      </w:pPr>
      <w:r w:rsidRPr="00085C52">
        <w:t xml:space="preserve">records management </w:t>
      </w:r>
    </w:p>
    <w:p w:rsidR="00000000" w:rsidRPr="00085C52" w:rsidP="00085C52">
      <w:pPr>
        <w:pStyle w:val="ListBullet2"/>
      </w:pPr>
      <w:r w:rsidRPr="00085C52">
        <w:t>rights and responsibilities of workers, employers and clients</w:t>
      </w:r>
    </w:p>
    <w:p w:rsidR="00000000" w:rsidRPr="00085C52" w:rsidP="00085C52">
      <w:pPr>
        <w:pStyle w:val="ListBullet2"/>
      </w:pPr>
      <w:r w:rsidRPr="00085C52">
        <w:t>specific legislation:</w:t>
      </w:r>
    </w:p>
    <w:p w:rsidR="00000000" w:rsidRPr="00085C52" w:rsidP="00085C52">
      <w:pPr>
        <w:pStyle w:val="ListBullet3"/>
      </w:pPr>
      <w:r w:rsidRPr="00085C52">
        <w:t>medicines and their use</w:t>
      </w:r>
    </w:p>
    <w:p w:rsidR="00000000" w:rsidRPr="00085C52" w:rsidP="00085C52">
      <w:pPr>
        <w:pStyle w:val="ListBullet3"/>
      </w:pPr>
      <w:r w:rsidRPr="00085C52">
        <w:t>the practice of pharmacy</w:t>
      </w:r>
    </w:p>
    <w:p w:rsidR="00000000" w:rsidRPr="00085C52" w:rsidP="00085C52">
      <w:pPr>
        <w:pStyle w:val="ListBullet3"/>
      </w:pPr>
      <w:r w:rsidRPr="00085C52">
        <w:t>different schedules of medicines and pharmaceutical products</w:t>
      </w:r>
    </w:p>
    <w:p w:rsidR="00000000" w:rsidRPr="00085C52" w:rsidP="00085C52">
      <w:pPr>
        <w:pStyle w:val="ListBullet2"/>
      </w:pPr>
      <w:r w:rsidRPr="00085C52">
        <w:t>work role boundaries – responsibilities and limitations in manufacturing products</w:t>
      </w:r>
    </w:p>
    <w:p w:rsidR="00000000" w:rsidRPr="00085C52" w:rsidP="00085C52">
      <w:pPr>
        <w:pStyle w:val="ListBullet2"/>
      </w:pPr>
      <w:r w:rsidRPr="00085C52">
        <w:t>work health and safety</w:t>
      </w:r>
    </w:p>
    <w:p w:rsidR="00000000" w:rsidRPr="00085C52" w:rsidP="00085C52">
      <w:pPr>
        <w:pStyle w:val="ListBullet"/>
      </w:pPr>
      <w:r w:rsidRPr="00085C52">
        <w:t>key information in standard pharmaceutical references and their use in manufacturing, in</w:t>
      </w:r>
      <w:r w:rsidRPr="00085C52">
        <w:t>cluding:</w:t>
      </w:r>
    </w:p>
    <w:p w:rsidR="00000000" w:rsidRPr="00085C52" w:rsidP="00085C52">
      <w:pPr>
        <w:pStyle w:val="ListBullet2"/>
      </w:pPr>
      <w:r w:rsidRPr="00085C52">
        <w:t>APF</w:t>
      </w:r>
    </w:p>
    <w:p w:rsidR="00000000" w:rsidRPr="00085C52" w:rsidP="00085C52">
      <w:pPr>
        <w:pStyle w:val="ListBullet2"/>
      </w:pPr>
      <w:r w:rsidRPr="00085C52">
        <w:t>MIMs</w:t>
      </w:r>
    </w:p>
    <w:p w:rsidR="00000000" w:rsidRPr="00085C52" w:rsidP="00085C52">
      <w:pPr>
        <w:pStyle w:val="ListBullet2"/>
      </w:pPr>
      <w:r w:rsidRPr="00085C52">
        <w:rPr>
          <w:rStyle w:val="Emphasis"/>
        </w:rPr>
        <w:t>Australian medicines handbook</w:t>
      </w:r>
      <w:r w:rsidRPr="00085C52">
        <w:t xml:space="preserve"> (AMH)</w:t>
      </w:r>
    </w:p>
    <w:p w:rsidR="00000000" w:rsidRPr="00085C52" w:rsidP="00085C52">
      <w:pPr>
        <w:pStyle w:val="ListBullet2"/>
      </w:pPr>
      <w:r w:rsidRPr="00085C52">
        <w:t>Micromedex</w:t>
      </w:r>
    </w:p>
    <w:p w:rsidR="00000000" w:rsidRPr="00085C52" w:rsidP="00085C52">
      <w:pPr>
        <w:pStyle w:val="ListBullet"/>
      </w:pPr>
      <w:r w:rsidRPr="00085C52">
        <w:t>rationale for, and key features of:</w:t>
      </w:r>
    </w:p>
    <w:p w:rsidR="00000000" w:rsidRPr="00085C52" w:rsidP="00085C52">
      <w:pPr>
        <w:pStyle w:val="ListBullet2"/>
      </w:pPr>
      <w:r w:rsidRPr="00085C52">
        <w:t xml:space="preserve">The Society of Hospital Pharmacists (SHPA) </w:t>
      </w:r>
      <w:r w:rsidRPr="00085C52">
        <w:rPr>
          <w:rStyle w:val="Emphasis"/>
        </w:rPr>
        <w:t>Guidelines for medicines prepared in Australian hospital pharmacy departments</w:t>
      </w:r>
      <w:r w:rsidRPr="00085C52">
        <w:t xml:space="preserve"> </w:t>
      </w:r>
    </w:p>
    <w:p w:rsidR="00000000" w:rsidRPr="00085C52" w:rsidP="00085C52">
      <w:pPr>
        <w:pStyle w:val="ListBullet2"/>
      </w:pPr>
      <w:r w:rsidRPr="00085C52">
        <w:t xml:space="preserve">Pharmaceutical Inspection Convention and Pharmaceutical Inspection Co-operation Scheme (PIC/S) </w:t>
      </w:r>
      <w:r w:rsidRPr="00085C52">
        <w:rPr>
          <w:rStyle w:val="Emphasis"/>
        </w:rPr>
        <w:t>Guide to good practices for the preparation of medicinal products in healthcare establishments</w:t>
      </w:r>
    </w:p>
    <w:p w:rsidR="00000000" w:rsidRPr="00085C52" w:rsidP="00085C52">
      <w:pPr>
        <w:pStyle w:val="ListBullet"/>
      </w:pPr>
      <w:r w:rsidRPr="00085C52">
        <w:t>product identification and handling, including those for:</w:t>
      </w:r>
    </w:p>
    <w:p w:rsidR="00000000" w:rsidRPr="00085C52" w:rsidP="00085C52">
      <w:pPr>
        <w:pStyle w:val="ListBullet2"/>
      </w:pPr>
      <w:r w:rsidRPr="00085C52">
        <w:t>formul</w:t>
      </w:r>
      <w:r w:rsidRPr="00085C52">
        <w:t xml:space="preserve">ary medicines and non-formulary medicines </w:t>
      </w:r>
    </w:p>
    <w:p w:rsidR="00000000" w:rsidRPr="00085C52" w:rsidP="00085C52">
      <w:pPr>
        <w:pStyle w:val="ListBullet2"/>
      </w:pPr>
      <w:r w:rsidRPr="00085C52">
        <w:t>products with the required integrity as well as those whose integrity has been compromised</w:t>
      </w:r>
    </w:p>
    <w:p w:rsidR="00000000" w:rsidRPr="00085C52" w:rsidP="00085C52">
      <w:pPr>
        <w:pStyle w:val="ListBullet2"/>
      </w:pPr>
      <w:r w:rsidRPr="00085C52">
        <w:t xml:space="preserve">routine of handling products and products requiring special handling </w:t>
      </w:r>
    </w:p>
    <w:p w:rsidR="00000000" w:rsidRPr="00085C52" w:rsidP="00085C52">
      <w:pPr>
        <w:pStyle w:val="ListBullet"/>
      </w:pPr>
      <w:r w:rsidRPr="00085C52">
        <w:t>nature and use of different dosage forms including:</w:t>
      </w:r>
    </w:p>
    <w:p w:rsidR="00000000" w:rsidRPr="00085C52" w:rsidP="00085C52">
      <w:pPr>
        <w:pStyle w:val="ListBullet2"/>
      </w:pPr>
      <w:r w:rsidRPr="00085C52">
        <w:t>oral</w:t>
      </w:r>
    </w:p>
    <w:p w:rsidR="00000000" w:rsidRPr="00085C52" w:rsidP="00085C52">
      <w:pPr>
        <w:pStyle w:val="ListBullet2"/>
      </w:pPr>
      <w:r w:rsidRPr="00085C52">
        <w:t xml:space="preserve">parenteral products </w:t>
      </w:r>
    </w:p>
    <w:p w:rsidR="00000000" w:rsidRPr="00085C52" w:rsidP="00085C52">
      <w:pPr>
        <w:pStyle w:val="ListBullet2"/>
      </w:pPr>
      <w:r w:rsidRPr="00085C52">
        <w:t>topical</w:t>
      </w:r>
    </w:p>
    <w:p w:rsidR="00000000" w:rsidRPr="00085C52" w:rsidP="00085C52">
      <w:pPr>
        <w:pStyle w:val="ListBullet"/>
      </w:pPr>
      <w:r w:rsidRPr="00085C52">
        <w:t>infection control requirements for small scale compounding of pharmaceutical products, including:</w:t>
      </w:r>
    </w:p>
    <w:p w:rsidR="00000000" w:rsidRPr="00085C52" w:rsidP="00085C52">
      <w:pPr>
        <w:pStyle w:val="ListBullet2"/>
      </w:pPr>
      <w:r w:rsidRPr="00085C52">
        <w:t xml:space="preserve">correct disposal of sharps and residues </w:t>
      </w:r>
    </w:p>
    <w:p w:rsidR="00000000" w:rsidRPr="00085C52" w:rsidP="00085C52">
      <w:pPr>
        <w:pStyle w:val="ListBullet2"/>
      </w:pPr>
      <w:r w:rsidRPr="00085C52">
        <w:t>cleaning and disinfection processes</w:t>
      </w:r>
    </w:p>
    <w:p w:rsidR="00000000" w:rsidRPr="00085C52" w:rsidP="00085C52">
      <w:pPr>
        <w:pStyle w:val="ListBullet2"/>
      </w:pPr>
      <w:r w:rsidRPr="00085C52">
        <w:t xml:space="preserve">personal hygiene </w:t>
      </w:r>
    </w:p>
    <w:p w:rsidR="00000000" w:rsidRPr="00085C52" w:rsidP="00085C52">
      <w:pPr>
        <w:pStyle w:val="ListBullet2"/>
      </w:pPr>
      <w:r w:rsidRPr="00085C52">
        <w:t>sources and types of contamination and required responses (microbial, cross-chemical, physical, environmental; and corrective strategies)</w:t>
      </w:r>
    </w:p>
    <w:p w:rsidR="00000000" w:rsidRPr="00085C52" w:rsidP="00085C52">
      <w:pPr>
        <w:pStyle w:val="ListBullet"/>
      </w:pPr>
      <w:r w:rsidRPr="00085C52">
        <w:t>manufacturing processes relating to small scale compounding, including:</w:t>
      </w:r>
    </w:p>
    <w:p w:rsidR="00000000" w:rsidRPr="00085C52" w:rsidP="00085C52">
      <w:pPr>
        <w:pStyle w:val="ListBullet2"/>
      </w:pPr>
      <w:r w:rsidRPr="00085C52">
        <w:t>nature and use of oral and topical dosage fo</w:t>
      </w:r>
      <w:r w:rsidRPr="00085C52">
        <w:t>rms</w:t>
      </w:r>
    </w:p>
    <w:p w:rsidR="00000000" w:rsidRPr="00085C52" w:rsidP="00085C52">
      <w:pPr>
        <w:pStyle w:val="ListBullet2"/>
      </w:pPr>
      <w:r w:rsidRPr="00085C52">
        <w:t>chemical and physical properties of raw materials in relation to formulation and compounding</w:t>
      </w:r>
    </w:p>
    <w:p w:rsidR="00000000" w:rsidRPr="00085C52" w:rsidP="00085C52">
      <w:pPr>
        <w:pStyle w:val="ListBullet2"/>
      </w:pPr>
      <w:r w:rsidRPr="00085C52">
        <w:t>types of equipment, their key features and use</w:t>
      </w:r>
    </w:p>
    <w:p w:rsidR="00000000" w:rsidRPr="00085C52" w:rsidP="00085C52">
      <w:pPr>
        <w:pStyle w:val="ListBullet2"/>
      </w:pPr>
      <w:r w:rsidRPr="00085C52">
        <w:t>compounding of a product according to a work sheet</w:t>
      </w:r>
    </w:p>
    <w:p w:rsidR="00000000" w:rsidRPr="00085C52" w:rsidP="00085C52">
      <w:pPr>
        <w:pStyle w:val="ListBullet2"/>
      </w:pPr>
      <w:r w:rsidRPr="00085C52">
        <w:t>principles and procedures of formulae calculations, weights a</w:t>
      </w:r>
      <w:r w:rsidRPr="00085C52">
        <w:t>nd measures</w:t>
      </w:r>
    </w:p>
    <w:p w:rsidR="00000000" w:rsidRPr="00085C52" w:rsidP="00085C52">
      <w:pPr>
        <w:pStyle w:val="ListBullet2"/>
      </w:pPr>
      <w:r w:rsidRPr="00085C52">
        <w:t>processes for dilution, suspension, incorporation and reconstitution</w:t>
      </w:r>
    </w:p>
    <w:p w:rsidR="00000000" w:rsidRPr="00085C52" w:rsidP="00085C52">
      <w:pPr>
        <w:pStyle w:val="ListBullet"/>
      </w:pPr>
      <w:r w:rsidRPr="00085C52">
        <w:t>risk considerations and procedures for pharmaceutical manufacturing:</w:t>
      </w:r>
    </w:p>
    <w:p w:rsidR="00000000" w:rsidRPr="00085C52" w:rsidP="00085C52">
      <w:pPr>
        <w:pStyle w:val="ListBullet2"/>
      </w:pPr>
      <w:r w:rsidRPr="00085C52">
        <w:t xml:space="preserve">product security </w:t>
      </w:r>
    </w:p>
    <w:p w:rsidR="00000000" w:rsidRPr="00085C52" w:rsidP="00085C52">
      <w:pPr>
        <w:pStyle w:val="ListBullet2"/>
      </w:pPr>
      <w:r w:rsidRPr="00085C52">
        <w:t>handling and storage of hazardous materials</w:t>
      </w:r>
    </w:p>
    <w:p w:rsidR="00000000" w:rsidRPr="00085C52" w:rsidP="00085C52">
      <w:pPr>
        <w:pStyle w:val="ListBullet2"/>
      </w:pPr>
      <w:r w:rsidRPr="00085C52">
        <w:t xml:space="preserve">quarantine periods </w:t>
      </w:r>
    </w:p>
    <w:p w:rsidR="00000000" w:rsidRPr="00085C52" w:rsidP="00085C52">
      <w:pPr>
        <w:pStyle w:val="ListBullet"/>
      </w:pPr>
      <w:r w:rsidRPr="00085C52">
        <w:t>requirements for form</w:t>
      </w:r>
      <w:r w:rsidRPr="00085C52">
        <w:t>ulated manufacturing documentation</w:t>
      </w:r>
    </w:p>
    <w:p w:rsidR="00000000" w:rsidRPr="00085C52" w:rsidP="00085C52">
      <w:pPr>
        <w:pStyle w:val="ListBullet2"/>
      </w:pPr>
      <w:r w:rsidRPr="00085C52">
        <w:t>different documentation types, their scope and purpose</w:t>
      </w:r>
    </w:p>
    <w:p w:rsidR="00000000" w:rsidRPr="00085C52" w:rsidP="00085C52">
      <w:pPr>
        <w:pStyle w:val="ListBullet2"/>
      </w:pPr>
      <w:r w:rsidRPr="00085C52">
        <w:t>worksheet processes</w:t>
      </w:r>
    </w:p>
    <w:p w:rsidR="00000000" w:rsidRPr="00085C52" w:rsidP="00085C52">
      <w:pPr>
        <w:pStyle w:val="ListBullet2"/>
      </w:pPr>
      <w:r w:rsidRPr="00085C52">
        <w:t>information quality requirements including clarity, logic and completeness</w:t>
      </w:r>
    </w:p>
    <w:p w:rsidR="00000000" w:rsidRPr="00085C52" w:rsidP="00085C52">
      <w:pPr>
        <w:pStyle w:val="ListBullet"/>
      </w:pPr>
      <w:r w:rsidRPr="00085C52">
        <w:t>labelling requirements for compounded products, including:</w:t>
      </w:r>
    </w:p>
    <w:p w:rsidR="00000000" w:rsidRPr="00085C52" w:rsidP="00085C52">
      <w:pPr>
        <w:pStyle w:val="ListBullet2"/>
      </w:pPr>
      <w:r w:rsidRPr="00085C52">
        <w:t>adherence to legislative requirements</w:t>
      </w:r>
    </w:p>
    <w:p w:rsidR="00000000" w:rsidRPr="00085C52" w:rsidP="00085C52">
      <w:pPr>
        <w:pStyle w:val="ListBullet2"/>
      </w:pPr>
      <w:r w:rsidRPr="00085C52">
        <w:t>name, form and strength of product</w:t>
      </w:r>
    </w:p>
    <w:p w:rsidR="00000000" w:rsidRPr="00085C52" w:rsidP="00085C52">
      <w:pPr>
        <w:pStyle w:val="ListBullet2"/>
      </w:pPr>
      <w:r w:rsidRPr="00085C52">
        <w:t>ancillary labels as part of label details</w:t>
      </w:r>
    </w:p>
    <w:p w:rsidR="00000000" w:rsidRPr="00085C52" w:rsidP="00085C52">
      <w:pPr>
        <w:pStyle w:val="ListBullet2"/>
      </w:pPr>
      <w:r w:rsidRPr="00085C52">
        <w:t>hazard warnings</w:t>
      </w:r>
    </w:p>
    <w:p w:rsidR="00000000" w:rsidRPr="00085C52" w:rsidP="00085C52">
      <w:pPr>
        <w:pStyle w:val="ListBullet2"/>
      </w:pPr>
      <w:r w:rsidRPr="00085C52">
        <w:t>spacing for entry of batch numbers and expiry dates</w:t>
      </w:r>
    </w:p>
    <w:p w:rsidR="00000000" w:rsidRPr="00085C52" w:rsidP="00085C52">
      <w:pPr>
        <w:pStyle w:val="ListBullet"/>
      </w:pPr>
      <w:r w:rsidRPr="00085C52">
        <w:t>packaging methods, container materials and principles for selection</w:t>
      </w:r>
    </w:p>
    <w:p w:rsidR="00000000" w:rsidRPr="00085C52" w:rsidP="00085C52">
      <w:pPr>
        <w:pStyle w:val="ListBullet"/>
      </w:pPr>
      <w:r w:rsidRPr="00085C52">
        <w:t>stor</w:t>
      </w:r>
      <w:r w:rsidRPr="00085C52">
        <w:t>age and transport requirements and rationale for different types of product including:</w:t>
      </w:r>
    </w:p>
    <w:p w:rsidR="00000000" w:rsidRPr="00085C52" w:rsidP="00085C52">
      <w:pPr>
        <w:pStyle w:val="ListBullet2"/>
      </w:pPr>
      <w:r w:rsidRPr="00085C52">
        <w:t>hazardous materials</w:t>
      </w:r>
    </w:p>
    <w:p w:rsidR="00000000" w:rsidRPr="00085C52" w:rsidP="00085C52">
      <w:pPr>
        <w:pStyle w:val="ListBullet2"/>
      </w:pPr>
      <w:r w:rsidRPr="00085C52">
        <w:t>special storage considerations:</w:t>
      </w:r>
    </w:p>
    <w:p w:rsidR="00000000" w:rsidRPr="00085C52" w:rsidP="00085C52">
      <w:pPr>
        <w:pStyle w:val="ListBullet3"/>
      </w:pPr>
      <w:r w:rsidRPr="00085C52">
        <w:t>humidity</w:t>
      </w:r>
    </w:p>
    <w:p w:rsidR="00000000" w:rsidRPr="00085C52" w:rsidP="00085C52">
      <w:pPr>
        <w:pStyle w:val="ListBullet3"/>
      </w:pPr>
      <w:r w:rsidRPr="00085C52">
        <w:t>isolation</w:t>
      </w:r>
    </w:p>
    <w:p w:rsidR="00000000" w:rsidRPr="00085C52" w:rsidP="00085C52">
      <w:pPr>
        <w:pStyle w:val="ListBullet3"/>
      </w:pPr>
      <w:r w:rsidRPr="00085C52">
        <w:t>light</w:t>
      </w:r>
    </w:p>
    <w:p w:rsidR="00000000" w:rsidRPr="00085C52" w:rsidP="00085C52">
      <w:pPr>
        <w:pStyle w:val="ListBullet3"/>
      </w:pPr>
      <w:r w:rsidRPr="00085C52">
        <w:t>temperature</w:t>
      </w:r>
    </w:p>
    <w:p w:rsidR="00000000" w:rsidRPr="00085C52" w:rsidP="00085C52">
      <w:pPr>
        <w:pStyle w:val="ListBullet3"/>
      </w:pPr>
      <w:r w:rsidRPr="00085C52">
        <w:t>ventilation</w:t>
      </w:r>
    </w:p>
    <w:p w:rsidR="00000000" w:rsidRPr="00085C52" w:rsidP="00085C52">
      <w:pPr>
        <w:pStyle w:val="ListBullet"/>
      </w:pPr>
      <w:r w:rsidRPr="00085C52">
        <w:t>features and use of pharmacy systems used for small scale compounding</w:t>
      </w:r>
    </w:p>
    <w:p w:rsidR="00000000" w:rsidRPr="00085C52" w:rsidP="00085C52">
      <w:pPr>
        <w:pStyle w:val="AllowPageBreak"/>
      </w:pPr>
    </w:p>
    <w:p w:rsidR="00000000" w:rsidRPr="00085C52" w:rsidP="00085C52">
      <w:pPr>
        <w:pStyle w:val="Heading1"/>
      </w:pPr>
      <w:bookmarkStart w:id="4" w:name="O_657226"/>
      <w:bookmarkEnd w:id="4"/>
      <w:r w:rsidRPr="00085C52">
        <w:t>Assessment Conditions</w:t>
      </w:r>
    </w:p>
    <w:p w:rsidR="00000000" w:rsidRPr="00085C52" w:rsidP="007D7040">
      <w:pPr>
        <w:pStyle w:val="BodyText"/>
      </w:pPr>
      <w:r w:rsidRPr="00085C52">
        <w:t>Skills must have been demonstrated in the workplace or in a simulated environment that reflects workplace conditions. The following conditions must</w:t>
      </w:r>
      <w:r w:rsidRPr="00085C52">
        <w:t xml:space="preserve"> be met for this unit: </w:t>
      </w:r>
    </w:p>
    <w:p w:rsidR="00000000" w:rsidRPr="00085C52" w:rsidP="00085C52">
      <w:pPr>
        <w:pStyle w:val="ListBullet"/>
      </w:pPr>
      <w:r w:rsidRPr="00085C52">
        <w:t xml:space="preserve">use of suitable facilities, equipment and resources, including: </w:t>
      </w:r>
    </w:p>
    <w:p w:rsidR="00000000" w:rsidRPr="00085C52" w:rsidP="00085C52">
      <w:pPr>
        <w:pStyle w:val="ListBullet2"/>
      </w:pPr>
      <w:r w:rsidRPr="00085C52">
        <w:t>weighing and measuring equipment</w:t>
      </w:r>
    </w:p>
    <w:p w:rsidR="00000000" w:rsidRPr="00085C52" w:rsidP="00085C52">
      <w:pPr>
        <w:pStyle w:val="ListBullet2"/>
      </w:pPr>
      <w:r w:rsidRPr="00085C52">
        <w:t>utensils</w:t>
      </w:r>
    </w:p>
    <w:p w:rsidR="00000000" w:rsidRPr="00085C52" w:rsidP="00085C52">
      <w:pPr>
        <w:pStyle w:val="ListBullet2"/>
      </w:pPr>
      <w:r w:rsidRPr="00085C52">
        <w:t>raw materials</w:t>
      </w:r>
    </w:p>
    <w:p w:rsidR="00000000" w:rsidRPr="00085C52" w:rsidP="00085C52">
      <w:pPr>
        <w:pStyle w:val="ListBullet2"/>
      </w:pPr>
      <w:r w:rsidRPr="00085C52">
        <w:t>pharmaceutical references</w:t>
      </w:r>
    </w:p>
    <w:p w:rsidR="00000000" w:rsidRPr="00085C52" w:rsidP="00085C52">
      <w:pPr>
        <w:pStyle w:val="ListBullet"/>
      </w:pPr>
      <w:r w:rsidRPr="00085C52">
        <w:t>modelling of industry operating conditions, including presence of time constraints for activities</w:t>
      </w:r>
    </w:p>
    <w:p w:rsidR="00000000" w:rsidRPr="00085C52" w:rsidP="00085C52">
      <w:pPr>
        <w:pStyle w:val="BodyText"/>
      </w:pPr>
    </w:p>
    <w:p w:rsidR="00000000" w:rsidRPr="00085C52" w:rsidP="007D7040">
      <w:pPr>
        <w:pStyle w:val="BodyText"/>
      </w:pPr>
      <w:r w:rsidRPr="00085C52">
        <w:t>Assessors must satisfy the Standards for Registered Training Organisations (RTOs) 2015/AQTF mandatory competency requirements for assessors.</w:t>
      </w:r>
    </w:p>
    <w:p w:rsidR="00000000" w:rsidRPr="00085C52" w:rsidP="00085C52">
      <w:pPr>
        <w:pStyle w:val="Heading1"/>
      </w:pPr>
      <w:bookmarkStart w:id="5" w:name="O_657229"/>
      <w:bookmarkEnd w:id="5"/>
      <w:r w:rsidRPr="00085C52">
        <w:t>Links</w:t>
      </w:r>
    </w:p>
    <w:p w:rsidR="00000000" w:rsidRPr="00085C52" w:rsidP="007D7040">
      <w:pPr>
        <w:pStyle w:val="BodyText"/>
      </w:pPr>
      <w:r w:rsidRPr="00085C5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F49A7">
        <w:rPr>
          <w:rStyle w:val="Hyperlink"/>
        </w:rPr>
        <w:t>https://vetnet.gov.au/Pages/TrainingDocs.aspx?q=ced1390f-48d9-4ab0-bd50-b015e5485705</w:t>
      </w:r>
      <w:r>
        <w:fldChar w:fldCharType="end"/>
      </w:r>
    </w:p>
    <w:p w:rsidR="00000000" w:rsidRPr="00085C52" w:rsidP="00085C52"/>
    <w:sectPr w:rsidSect="00085C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C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C52" w:rsidRPr="007D7040" w:rsidP="007D70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C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040" w:rsidP="00085C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7040" w:rsidP="00085C5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D7040" w:rsidP="00085C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C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0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C52" w:rsidRPr="007D7040" w:rsidP="007D70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C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040" w:rsidRPr="002D2AF8" w:rsidP="00085C52">
    <w:pPr>
      <w:pStyle w:val="Header"/>
      <w:framePr w:wrap="around"/>
    </w:pPr>
    <w:r>
      <w:fldChar w:fldCharType="begin"/>
    </w:r>
    <w:r>
      <w:instrText xml:space="preserve"> TITLE   \* MERGEFORMAT </w:instrText>
    </w:r>
    <w:r>
      <w:fldChar w:fldCharType="separate"/>
    </w:r>
    <w:r>
      <w:t>Assessment Requirements for HLTPHA005 Conduct small scale compounding and labelling of pharmaceutical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7D7040" w:rsidP="00085C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9C1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F885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702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C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C52"/>
    <w:pPr>
      <w:spacing w:before="360" w:after="60"/>
      <w:outlineLvl w:val="0"/>
    </w:pPr>
    <w:rPr>
      <w:sz w:val="32"/>
    </w:rPr>
  </w:style>
  <w:style w:type="paragraph" w:styleId="Heading2">
    <w:name w:val="heading 2"/>
    <w:basedOn w:val="HeadingBase"/>
    <w:next w:val="BodyText"/>
    <w:link w:val="Heading2Char"/>
    <w:qFormat/>
    <w:rsid w:val="00085C52"/>
    <w:pPr>
      <w:keepLines/>
      <w:spacing w:before="240" w:after="120"/>
      <w:outlineLvl w:val="1"/>
    </w:pPr>
    <w:rPr>
      <w:sz w:val="28"/>
      <w:szCs w:val="40"/>
    </w:rPr>
  </w:style>
  <w:style w:type="paragraph" w:styleId="Heading3">
    <w:name w:val="heading 3"/>
    <w:basedOn w:val="HeadingBase"/>
    <w:next w:val="BodyText"/>
    <w:link w:val="Heading3Char"/>
    <w:qFormat/>
    <w:rsid w:val="00085C52"/>
    <w:pPr>
      <w:spacing w:before="180" w:after="120"/>
      <w:outlineLvl w:val="2"/>
    </w:pPr>
    <w:rPr>
      <w:spacing w:val="-10"/>
      <w:kern w:val="32"/>
    </w:rPr>
  </w:style>
  <w:style w:type="paragraph" w:styleId="Heading4">
    <w:name w:val="heading 4"/>
    <w:basedOn w:val="HeadingBase"/>
    <w:next w:val="BodyText"/>
    <w:link w:val="Heading4Char"/>
    <w:qFormat/>
    <w:rsid w:val="00085C52"/>
    <w:pPr>
      <w:spacing w:before="160" w:after="120"/>
      <w:outlineLvl w:val="3"/>
    </w:pPr>
    <w:rPr>
      <w:sz w:val="22"/>
    </w:rPr>
  </w:style>
  <w:style w:type="paragraph" w:styleId="Heading5">
    <w:name w:val="heading 5"/>
    <w:basedOn w:val="HeadingBase"/>
    <w:next w:val="Normal"/>
    <w:link w:val="Heading5Char"/>
    <w:qFormat/>
    <w:rsid w:val="00085C52"/>
    <w:pPr>
      <w:spacing w:before="80"/>
      <w:outlineLvl w:val="4"/>
    </w:pPr>
    <w:rPr>
      <w:color w:val="918585"/>
      <w:sz w:val="20"/>
    </w:rPr>
  </w:style>
  <w:style w:type="paragraph" w:styleId="Heading6">
    <w:name w:val="heading 6"/>
    <w:basedOn w:val="HeadingBase"/>
    <w:next w:val="Normal"/>
    <w:link w:val="Heading6Char"/>
    <w:qFormat/>
    <w:rsid w:val="00085C52"/>
    <w:pPr>
      <w:spacing w:before="60"/>
      <w:outlineLvl w:val="5"/>
    </w:pPr>
    <w:rPr>
      <w:color w:val="918585"/>
      <w:sz w:val="20"/>
    </w:rPr>
  </w:style>
  <w:style w:type="paragraph" w:styleId="Heading7">
    <w:name w:val="heading 7"/>
    <w:basedOn w:val="Normal"/>
    <w:next w:val="Normal"/>
    <w:link w:val="Heading7Char"/>
    <w:qFormat/>
    <w:rsid w:val="00085C52"/>
    <w:pPr>
      <w:ind w:left="720"/>
      <w:outlineLvl w:val="6"/>
    </w:pPr>
    <w:rPr>
      <w:i/>
    </w:rPr>
  </w:style>
  <w:style w:type="paragraph" w:styleId="Heading8">
    <w:name w:val="heading 8"/>
    <w:basedOn w:val="Normal"/>
    <w:next w:val="Normal"/>
    <w:link w:val="Heading8Char"/>
    <w:qFormat/>
    <w:rsid w:val="00085C52"/>
    <w:pPr>
      <w:ind w:left="720"/>
      <w:outlineLvl w:val="7"/>
    </w:pPr>
    <w:rPr>
      <w:i/>
    </w:rPr>
  </w:style>
  <w:style w:type="paragraph" w:styleId="Heading9">
    <w:name w:val="heading 9"/>
    <w:basedOn w:val="Normal"/>
    <w:next w:val="Normal"/>
    <w:link w:val="Heading9Char"/>
    <w:qFormat/>
    <w:rsid w:val="00085C52"/>
    <w:pPr>
      <w:ind w:left="720"/>
      <w:outlineLvl w:val="8"/>
    </w:pPr>
    <w:rPr>
      <w:i/>
    </w:rPr>
  </w:style>
  <w:style w:type="character" w:default="1" w:styleId="DefaultParagraphFont">
    <w:name w:val="Default Paragraph Font"/>
    <w:uiPriority w:val="1"/>
    <w:unhideWhenUsed/>
    <w:rsid w:val="00085C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C52"/>
  </w:style>
  <w:style w:type="character" w:customStyle="1" w:styleId="Heading1Char">
    <w:name w:val="Heading 1 Char"/>
    <w:basedOn w:val="DefaultParagraphFont"/>
    <w:link w:val="Heading1"/>
    <w:rsid w:val="00085C52"/>
    <w:rPr>
      <w:rFonts w:ascii="Times New Roman" w:eastAsia="Times New Roman" w:hAnsi="Times New Roman" w:cs="Times New Roman"/>
      <w:b/>
      <w:sz w:val="32"/>
      <w:szCs w:val="20"/>
      <w:lang w:eastAsia="en-US"/>
    </w:rPr>
  </w:style>
  <w:style w:type="paragraph" w:styleId="BodyText">
    <w:name w:val="Body Text"/>
    <w:basedOn w:val="Normal"/>
    <w:link w:val="BodyTextChar"/>
    <w:rsid w:val="00085C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C52"/>
    <w:rPr>
      <w:rFonts w:ascii="Times New Roman" w:eastAsia="Times New Roman" w:hAnsi="Times New Roman" w:cs="Times New Roman"/>
      <w:sz w:val="24"/>
      <w:lang w:eastAsia="en-US"/>
    </w:rPr>
  </w:style>
  <w:style w:type="paragraph" w:styleId="ListBullet">
    <w:name w:val="List Bullet"/>
    <w:basedOn w:val="List"/>
    <w:rsid w:val="00085C52"/>
    <w:pPr>
      <w:numPr>
        <w:numId w:val="13"/>
      </w:numPr>
      <w:tabs>
        <w:tab w:val="clear" w:pos="340"/>
      </w:tabs>
      <w:spacing w:before="40" w:after="40"/>
    </w:pPr>
  </w:style>
  <w:style w:type="character" w:customStyle="1" w:styleId="SpecialBold">
    <w:name w:val="Special Bold"/>
    <w:basedOn w:val="DefaultParagraphFont"/>
    <w:rsid w:val="00085C52"/>
    <w:rPr>
      <w:b/>
      <w:spacing w:val="0"/>
    </w:rPr>
  </w:style>
  <w:style w:type="paragraph" w:styleId="ListBullet2">
    <w:name w:val="List Bullet 2"/>
    <w:basedOn w:val="List2"/>
    <w:rsid w:val="00085C52"/>
    <w:pPr>
      <w:numPr>
        <w:numId w:val="14"/>
      </w:numPr>
      <w:tabs>
        <w:tab w:val="clear" w:pos="680"/>
      </w:tabs>
    </w:pPr>
  </w:style>
  <w:style w:type="character" w:styleId="Emphasis">
    <w:name w:val="Emphasis"/>
    <w:basedOn w:val="DefaultParagraphFont"/>
    <w:qFormat/>
    <w:rsid w:val="00085C52"/>
    <w:rPr>
      <w:i/>
    </w:rPr>
  </w:style>
  <w:style w:type="paragraph" w:customStyle="1" w:styleId="SuperHeading">
    <w:name w:val="SuperHeading"/>
    <w:basedOn w:val="Normal"/>
    <w:rsid w:val="00085C52"/>
    <w:pPr>
      <w:spacing w:before="240" w:after="120"/>
      <w:outlineLvl w:val="0"/>
    </w:pPr>
    <w:rPr>
      <w:rFonts w:ascii="Times New Roman" w:hAnsi="Times New Roman"/>
      <w:b/>
      <w:sz w:val="32"/>
    </w:rPr>
  </w:style>
  <w:style w:type="paragraph" w:customStyle="1" w:styleId="AllowPageBreak">
    <w:name w:val="AllowPageBreak"/>
    <w:rsid w:val="00085C5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5C52"/>
    <w:pPr>
      <w:numPr>
        <w:numId w:val="3"/>
      </w:numPr>
      <w:tabs>
        <w:tab w:val="clear" w:pos="1021"/>
      </w:tabs>
      <w:ind w:left="1037" w:hanging="357"/>
    </w:pPr>
  </w:style>
  <w:style w:type="character" w:customStyle="1" w:styleId="Heading2Char">
    <w:name w:val="Heading 2 Char"/>
    <w:basedOn w:val="DefaultParagraphFont"/>
    <w:link w:val="Heading2"/>
    <w:rsid w:val="00085C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C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C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C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C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C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C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C52"/>
    <w:rPr>
      <w:rFonts w:ascii="Courier New" w:eastAsia="Times New Roman" w:hAnsi="Courier New" w:cs="Times New Roman"/>
      <w:i/>
      <w:szCs w:val="20"/>
      <w:lang w:eastAsia="en-US"/>
    </w:rPr>
  </w:style>
  <w:style w:type="paragraph" w:customStyle="1" w:styleId="HeadingBase">
    <w:name w:val="Heading Base"/>
    <w:rsid w:val="00085C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C52"/>
    <w:pPr>
      <w:tabs>
        <w:tab w:val="right" w:leader="dot" w:pos="9072"/>
      </w:tabs>
      <w:ind w:left="567"/>
    </w:pPr>
    <w:rPr>
      <w:szCs w:val="22"/>
    </w:rPr>
  </w:style>
  <w:style w:type="paragraph" w:customStyle="1" w:styleId="TOCBase">
    <w:name w:val="TOC Base"/>
    <w:rsid w:val="00085C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C52"/>
    <w:pPr>
      <w:tabs>
        <w:tab w:val="right" w:leader="dot" w:pos="9072"/>
      </w:tabs>
      <w:spacing w:before="40" w:after="40"/>
      <w:ind w:left="284"/>
    </w:pPr>
    <w:rPr>
      <w:rFonts w:ascii="Times New Roman" w:hAnsi="Times New Roman"/>
    </w:rPr>
  </w:style>
  <w:style w:type="paragraph" w:styleId="TOC1">
    <w:name w:val="toc 1"/>
    <w:basedOn w:val="TOCBase"/>
    <w:next w:val="Normal"/>
    <w:rsid w:val="00085C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C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C52"/>
    <w:rPr>
      <w:rFonts w:ascii="Times New Roman" w:eastAsia="Times New Roman" w:hAnsi="Times New Roman" w:cs="Times New Roman"/>
      <w:sz w:val="16"/>
      <w:lang w:eastAsia="en-US"/>
    </w:rPr>
  </w:style>
  <w:style w:type="paragraph" w:styleId="Title">
    <w:name w:val="Title"/>
    <w:basedOn w:val="HeadingBase"/>
    <w:link w:val="TitleChar"/>
    <w:qFormat/>
    <w:rsid w:val="00085C52"/>
    <w:pPr>
      <w:spacing w:before="5040"/>
      <w:jc w:val="center"/>
    </w:pPr>
    <w:rPr>
      <w:sz w:val="48"/>
      <w:szCs w:val="72"/>
      <w:lang w:val="en-US"/>
    </w:rPr>
  </w:style>
  <w:style w:type="character" w:customStyle="1" w:styleId="TitleChar">
    <w:name w:val="Title Char"/>
    <w:basedOn w:val="DefaultParagraphFont"/>
    <w:link w:val="Title"/>
    <w:rsid w:val="00085C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C52"/>
    <w:pPr>
      <w:tabs>
        <w:tab w:val="left" w:pos="3600"/>
        <w:tab w:val="left" w:pos="3958"/>
      </w:tabs>
    </w:pPr>
  </w:style>
  <w:style w:type="paragraph" w:styleId="List">
    <w:name w:val="List"/>
    <w:basedOn w:val="BodyText"/>
    <w:next w:val="BodyText"/>
    <w:rsid w:val="00085C52"/>
    <w:pPr>
      <w:tabs>
        <w:tab w:val="left" w:pos="340"/>
      </w:tabs>
      <w:spacing w:before="60" w:after="60"/>
      <w:ind w:left="340" w:hanging="340"/>
    </w:pPr>
  </w:style>
  <w:style w:type="paragraph" w:customStyle="1" w:styleId="Note">
    <w:name w:val="Note"/>
    <w:basedOn w:val="BodyText"/>
    <w:rsid w:val="00085C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C52"/>
    <w:pPr>
      <w:framePr w:wrap="auto" w:hAnchor="text" w:y="6049"/>
    </w:pPr>
    <w:rPr>
      <w:color w:val="000000"/>
      <w:sz w:val="40"/>
    </w:rPr>
  </w:style>
  <w:style w:type="paragraph" w:customStyle="1" w:styleId="TOCTitle">
    <w:name w:val="TOCTitle"/>
    <w:basedOn w:val="Heading1"/>
    <w:rsid w:val="00085C52"/>
    <w:pPr>
      <w:spacing w:after="240"/>
      <w:jc w:val="center"/>
      <w:outlineLvl w:val="9"/>
    </w:pPr>
    <w:rPr>
      <w:caps/>
    </w:rPr>
  </w:style>
  <w:style w:type="paragraph" w:customStyle="1" w:styleId="Version">
    <w:name w:val="Version"/>
    <w:rsid w:val="00085C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5C52"/>
    <w:pPr>
      <w:keepNext w:val="0"/>
      <w:tabs>
        <w:tab w:val="right" w:pos="4176"/>
      </w:tabs>
      <w:ind w:left="198" w:hanging="198"/>
    </w:pPr>
    <w:rPr>
      <w:rFonts w:ascii="Garamond" w:hAnsi="Garamond"/>
    </w:rPr>
  </w:style>
  <w:style w:type="paragraph" w:styleId="IndexHeading">
    <w:name w:val="index heading"/>
    <w:basedOn w:val="Normal"/>
    <w:next w:val="Index1"/>
    <w:semiHidden/>
    <w:rsid w:val="00085C52"/>
    <w:pPr>
      <w:spacing w:before="120" w:after="120"/>
    </w:pPr>
    <w:rPr>
      <w:rFonts w:ascii="Arial" w:hAnsi="Arial"/>
      <w:b/>
      <w:color w:val="918585"/>
      <w:sz w:val="24"/>
    </w:rPr>
  </w:style>
  <w:style w:type="paragraph" w:styleId="Header">
    <w:name w:val="header"/>
    <w:basedOn w:val="Normal"/>
    <w:link w:val="HeaderChar"/>
    <w:rsid w:val="00085C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C52"/>
    <w:rPr>
      <w:rFonts w:ascii="Times New Roman" w:eastAsia="Times New Roman" w:hAnsi="Times New Roman" w:cs="Times New Roman"/>
      <w:sz w:val="16"/>
      <w:szCs w:val="20"/>
      <w:lang w:val="en-GB" w:eastAsia="en-US"/>
    </w:rPr>
  </w:style>
  <w:style w:type="paragraph" w:customStyle="1" w:styleId="Chapter">
    <w:name w:val="Chapter"/>
    <w:basedOn w:val="Normal"/>
    <w:rsid w:val="00085C52"/>
    <w:pPr>
      <w:spacing w:before="240"/>
    </w:pPr>
    <w:rPr>
      <w:rFonts w:ascii="Times New Roman" w:hAnsi="Times New Roman"/>
      <w:smallCaps/>
      <w:spacing w:val="80"/>
      <w:sz w:val="28"/>
    </w:rPr>
  </w:style>
  <w:style w:type="paragraph" w:customStyle="1" w:styleId="InChapter">
    <w:name w:val="InChapter"/>
    <w:basedOn w:val="Heading3"/>
    <w:rsid w:val="00085C52"/>
    <w:pPr>
      <w:spacing w:after="240"/>
      <w:outlineLvl w:val="9"/>
    </w:pPr>
    <w:rPr>
      <w:noProof/>
    </w:rPr>
  </w:style>
  <w:style w:type="paragraph" w:styleId="Index2">
    <w:name w:val="index 2"/>
    <w:basedOn w:val="Normal"/>
    <w:next w:val="Normal"/>
    <w:semiHidden/>
    <w:rsid w:val="00085C52"/>
    <w:pPr>
      <w:tabs>
        <w:tab w:val="right" w:pos="4176"/>
      </w:tabs>
      <w:ind w:left="568" w:hanging="284"/>
    </w:pPr>
    <w:rPr>
      <w:rFonts w:ascii="Garamond" w:hAnsi="Garamond"/>
    </w:rPr>
  </w:style>
  <w:style w:type="paragraph" w:customStyle="1" w:styleId="Byline">
    <w:name w:val="Byline"/>
    <w:rsid w:val="00085C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C52"/>
    <w:pPr>
      <w:tabs>
        <w:tab w:val="clear" w:pos="3600"/>
        <w:tab w:val="clear" w:pos="3958"/>
      </w:tabs>
      <w:jc w:val="right"/>
    </w:pPr>
  </w:style>
  <w:style w:type="paragraph" w:styleId="Caption">
    <w:name w:val="caption"/>
    <w:basedOn w:val="BodyText"/>
    <w:next w:val="Normal"/>
    <w:qFormat/>
    <w:rsid w:val="00085C52"/>
    <w:pPr>
      <w:framePr w:w="2268" w:hSpace="181" w:vSpace="181" w:wrap="around" w:vAnchor="text" w:hAnchor="page" w:x="1135" w:y="285" w:anchorLock="1"/>
    </w:pPr>
    <w:rPr>
      <w:i/>
    </w:rPr>
  </w:style>
  <w:style w:type="paragraph" w:customStyle="1" w:styleId="MiniTOCTitle">
    <w:name w:val="MiniTOCTitle"/>
    <w:basedOn w:val="Heading4"/>
    <w:rsid w:val="00085C52"/>
    <w:pPr>
      <w:spacing w:before="240"/>
      <w:outlineLvl w:val="9"/>
    </w:pPr>
    <w:rPr>
      <w:noProof/>
      <w:sz w:val="24"/>
    </w:rPr>
  </w:style>
  <w:style w:type="paragraph" w:customStyle="1" w:styleId="MiniTOCItem">
    <w:name w:val="MiniTOCItem"/>
    <w:basedOn w:val="ListBullet"/>
    <w:rsid w:val="00085C52"/>
    <w:pPr>
      <w:numPr>
        <w:numId w:val="0"/>
      </w:numPr>
      <w:tabs>
        <w:tab w:val="right" w:leader="dot" w:pos="6521"/>
      </w:tabs>
      <w:spacing w:before="0" w:after="0"/>
    </w:pPr>
  </w:style>
  <w:style w:type="paragraph" w:customStyle="1" w:styleId="TOFTitle">
    <w:name w:val="TOFTitle"/>
    <w:basedOn w:val="TOCTitle"/>
    <w:rsid w:val="00085C52"/>
  </w:style>
  <w:style w:type="paragraph" w:styleId="TableofFigures">
    <w:name w:val="table of figures"/>
    <w:basedOn w:val="Normal"/>
    <w:next w:val="Normal"/>
    <w:semiHidden/>
    <w:rsid w:val="00085C52"/>
    <w:pPr>
      <w:tabs>
        <w:tab w:val="right" w:leader="dot" w:pos="9072"/>
      </w:tabs>
      <w:ind w:left="970" w:hanging="403"/>
    </w:pPr>
    <w:rPr>
      <w:rFonts w:ascii="Times New Roman" w:hAnsi="Times New Roman"/>
      <w:b/>
    </w:rPr>
  </w:style>
  <w:style w:type="paragraph" w:styleId="ListNumber">
    <w:name w:val="List Number"/>
    <w:basedOn w:val="List"/>
    <w:rsid w:val="00085C52"/>
    <w:pPr>
      <w:numPr>
        <w:numId w:val="16"/>
      </w:numPr>
      <w:tabs>
        <w:tab w:val="clear" w:pos="340"/>
      </w:tabs>
    </w:pPr>
  </w:style>
  <w:style w:type="character" w:customStyle="1" w:styleId="WingdingSymbols">
    <w:name w:val="Wingding Symbols"/>
    <w:rsid w:val="00085C52"/>
    <w:rPr>
      <w:rFonts w:ascii="Wingdings" w:hAnsi="Wingdings"/>
    </w:rPr>
  </w:style>
  <w:style w:type="paragraph" w:customStyle="1" w:styleId="TableHeading">
    <w:name w:val="Table Heading"/>
    <w:basedOn w:val="HeadingBase"/>
    <w:rsid w:val="00085C52"/>
    <w:pPr>
      <w:keepLines/>
      <w:pBdr>
        <w:bottom w:val="single" w:sz="6" w:space="1" w:color="918585"/>
      </w:pBdr>
      <w:spacing w:before="240"/>
    </w:pPr>
  </w:style>
  <w:style w:type="character" w:customStyle="1" w:styleId="HotSpot">
    <w:name w:val="HotSpot"/>
    <w:rsid w:val="00085C52"/>
    <w:rPr>
      <w:color w:val="0033CC"/>
      <w:u w:val="none"/>
    </w:rPr>
  </w:style>
  <w:style w:type="paragraph" w:customStyle="1" w:styleId="BodyTextRight">
    <w:name w:val="Body Text Right"/>
    <w:basedOn w:val="BodyText"/>
    <w:rsid w:val="00085C52"/>
    <w:pPr>
      <w:spacing w:before="0" w:after="0"/>
      <w:jc w:val="right"/>
    </w:pPr>
  </w:style>
  <w:style w:type="paragraph" w:styleId="Index3">
    <w:name w:val="index 3"/>
    <w:basedOn w:val="ListNumber2"/>
    <w:next w:val="Normal"/>
    <w:semiHidden/>
    <w:rsid w:val="00085C52"/>
    <w:pPr>
      <w:numPr>
        <w:numId w:val="0"/>
      </w:numPr>
      <w:tabs>
        <w:tab w:val="right" w:leader="dot" w:pos="4176"/>
      </w:tabs>
    </w:pPr>
  </w:style>
  <w:style w:type="paragraph" w:styleId="ListNumber2">
    <w:name w:val="List Number 2"/>
    <w:basedOn w:val="List2"/>
    <w:rsid w:val="00085C52"/>
    <w:pPr>
      <w:numPr>
        <w:numId w:val="11"/>
      </w:numPr>
      <w:tabs>
        <w:tab w:val="clear" w:pos="1060"/>
      </w:tabs>
    </w:pPr>
  </w:style>
  <w:style w:type="paragraph" w:customStyle="1" w:styleId="MarginNote">
    <w:name w:val="Margin Note"/>
    <w:basedOn w:val="BodyText"/>
    <w:rsid w:val="00085C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C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C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C52"/>
    <w:rPr>
      <w:sz w:val="32"/>
    </w:rPr>
  </w:style>
  <w:style w:type="paragraph" w:customStyle="1" w:styleId="HeadingProcedure">
    <w:name w:val="Heading Procedure"/>
    <w:basedOn w:val="HeadingBase"/>
    <w:next w:val="Normal"/>
    <w:rsid w:val="00085C52"/>
    <w:pPr>
      <w:tabs>
        <w:tab w:val="left" w:pos="0"/>
      </w:tabs>
      <w:spacing w:before="120" w:after="60"/>
    </w:pPr>
    <w:rPr>
      <w:i/>
      <w:color w:val="918585"/>
      <w:sz w:val="22"/>
    </w:rPr>
  </w:style>
  <w:style w:type="paragraph" w:customStyle="1" w:styleId="TableBodyText">
    <w:name w:val="Table Body Text"/>
    <w:basedOn w:val="BodyText"/>
    <w:rsid w:val="00085C52"/>
    <w:pPr>
      <w:spacing w:before="60" w:after="60"/>
    </w:pPr>
  </w:style>
  <w:style w:type="paragraph" w:styleId="ListContinue">
    <w:name w:val="List Continue"/>
    <w:basedOn w:val="List"/>
    <w:rsid w:val="00085C52"/>
    <w:pPr>
      <w:ind w:firstLine="0"/>
    </w:pPr>
  </w:style>
  <w:style w:type="paragraph" w:customStyle="1" w:styleId="ListNote">
    <w:name w:val="List Note"/>
    <w:basedOn w:val="List"/>
    <w:rsid w:val="00085C52"/>
    <w:pPr>
      <w:pBdr>
        <w:top w:val="single" w:sz="6" w:space="2" w:color="918585"/>
        <w:bottom w:val="single" w:sz="6" w:space="2" w:color="918585"/>
      </w:pBdr>
      <w:tabs>
        <w:tab w:val="left" w:pos="1021"/>
      </w:tabs>
      <w:ind w:firstLine="0"/>
    </w:pPr>
  </w:style>
  <w:style w:type="paragraph" w:customStyle="1" w:styleId="Warning">
    <w:name w:val="Warning"/>
    <w:basedOn w:val="BodyText"/>
    <w:rsid w:val="00085C52"/>
    <w:pPr>
      <w:shd w:val="clear" w:color="auto" w:fill="D9D9D9"/>
      <w:tabs>
        <w:tab w:val="left" w:pos="992"/>
      </w:tabs>
      <w:ind w:left="119" w:right="119"/>
    </w:pPr>
    <w:rPr>
      <w:sz w:val="20"/>
    </w:rPr>
  </w:style>
  <w:style w:type="paragraph" w:customStyle="1" w:styleId="MarginIcons">
    <w:name w:val="Margin Icons"/>
    <w:basedOn w:val="BodyText"/>
    <w:rsid w:val="00085C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C52"/>
    <w:rPr>
      <w:rFonts w:ascii="Courier New" w:hAnsi="Courier New"/>
    </w:rPr>
  </w:style>
  <w:style w:type="paragraph" w:customStyle="1" w:styleId="NoteBullet">
    <w:name w:val="Note Bullet"/>
    <w:basedOn w:val="Note"/>
    <w:rsid w:val="00085C52"/>
    <w:pPr>
      <w:tabs>
        <w:tab w:val="clear" w:pos="680"/>
      </w:tabs>
      <w:spacing w:before="60" w:after="60"/>
    </w:pPr>
  </w:style>
  <w:style w:type="paragraph" w:customStyle="1" w:styleId="SubHeading2">
    <w:name w:val="SubHeading2"/>
    <w:basedOn w:val="HeadingBase"/>
    <w:rsid w:val="00085C52"/>
    <w:pPr>
      <w:spacing w:before="240" w:after="60"/>
    </w:pPr>
    <w:rPr>
      <w:sz w:val="20"/>
    </w:rPr>
  </w:style>
  <w:style w:type="paragraph" w:customStyle="1" w:styleId="SubHeading1">
    <w:name w:val="SubHeading1"/>
    <w:basedOn w:val="HeadingBase"/>
    <w:rsid w:val="00085C52"/>
    <w:pPr>
      <w:spacing w:before="240" w:after="60"/>
    </w:pPr>
    <w:rPr>
      <w:color w:val="918585"/>
      <w:sz w:val="22"/>
    </w:rPr>
  </w:style>
  <w:style w:type="paragraph" w:customStyle="1" w:styleId="SideHeading">
    <w:name w:val="Side Heading"/>
    <w:basedOn w:val="HeadingBase"/>
    <w:rsid w:val="00085C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C52"/>
    <w:pPr>
      <w:numPr>
        <w:numId w:val="12"/>
      </w:numPr>
    </w:pPr>
  </w:style>
  <w:style w:type="paragraph" w:styleId="PlainText">
    <w:name w:val="Plain Text"/>
    <w:basedOn w:val="Normal"/>
    <w:link w:val="PlainTextChar"/>
    <w:rsid w:val="00085C52"/>
    <w:rPr>
      <w:sz w:val="20"/>
    </w:rPr>
  </w:style>
  <w:style w:type="character" w:customStyle="1" w:styleId="PlainTextChar">
    <w:name w:val="Plain Text Char"/>
    <w:basedOn w:val="DefaultParagraphFont"/>
    <w:link w:val="PlainText"/>
    <w:rsid w:val="00085C52"/>
    <w:rPr>
      <w:rFonts w:ascii="Courier New" w:eastAsia="Times New Roman" w:hAnsi="Courier New" w:cs="Times New Roman"/>
      <w:sz w:val="20"/>
      <w:szCs w:val="20"/>
      <w:lang w:eastAsia="en-US"/>
    </w:rPr>
  </w:style>
  <w:style w:type="character" w:customStyle="1" w:styleId="MenuOption">
    <w:name w:val="Menu Option"/>
    <w:basedOn w:val="DefaultParagraphFont"/>
    <w:rsid w:val="00085C52"/>
    <w:rPr>
      <w:b/>
      <w:smallCaps/>
    </w:rPr>
  </w:style>
  <w:style w:type="paragraph" w:customStyle="1" w:styleId="TableListNumber">
    <w:name w:val="Table List Number"/>
    <w:basedOn w:val="ListNumber"/>
    <w:rsid w:val="00085C52"/>
    <w:pPr>
      <w:numPr>
        <w:numId w:val="0"/>
      </w:numPr>
    </w:pPr>
  </w:style>
  <w:style w:type="paragraph" w:styleId="TOC4">
    <w:name w:val="toc 4"/>
    <w:basedOn w:val="TOCBase"/>
    <w:next w:val="Normal"/>
    <w:semiHidden/>
    <w:rsid w:val="00085C52"/>
    <w:pPr>
      <w:tabs>
        <w:tab w:val="right" w:leader="dot" w:pos="9071"/>
      </w:tabs>
      <w:ind w:left="1701"/>
    </w:pPr>
  </w:style>
  <w:style w:type="paragraph" w:customStyle="1" w:styleId="ListAlpha">
    <w:name w:val="List Alpha"/>
    <w:basedOn w:val="List"/>
    <w:rsid w:val="00085C52"/>
    <w:pPr>
      <w:numPr>
        <w:numId w:val="10"/>
      </w:numPr>
    </w:pPr>
  </w:style>
  <w:style w:type="paragraph" w:customStyle="1" w:styleId="ListAlpha2">
    <w:name w:val="List Alpha 2"/>
    <w:basedOn w:val="List2"/>
    <w:rsid w:val="00085C52"/>
    <w:pPr>
      <w:numPr>
        <w:numId w:val="9"/>
      </w:numPr>
    </w:pPr>
  </w:style>
  <w:style w:type="paragraph" w:styleId="List2">
    <w:name w:val="List 2"/>
    <w:basedOn w:val="BodyText"/>
    <w:rsid w:val="00085C52"/>
    <w:pPr>
      <w:tabs>
        <w:tab w:val="left" w:pos="680"/>
      </w:tabs>
      <w:spacing w:before="60" w:after="60"/>
      <w:ind w:left="680" w:hanging="340"/>
    </w:pPr>
  </w:style>
  <w:style w:type="paragraph" w:styleId="List3">
    <w:name w:val="List 3"/>
    <w:basedOn w:val="BodyText"/>
    <w:rsid w:val="00085C52"/>
    <w:pPr>
      <w:tabs>
        <w:tab w:val="left" w:pos="1021"/>
      </w:tabs>
      <w:spacing w:before="60" w:after="60"/>
      <w:ind w:left="1020" w:hanging="340"/>
    </w:pPr>
  </w:style>
  <w:style w:type="paragraph" w:styleId="List4">
    <w:name w:val="List 4"/>
    <w:basedOn w:val="BodyText"/>
    <w:rsid w:val="00085C52"/>
    <w:pPr>
      <w:tabs>
        <w:tab w:val="left" w:pos="1361"/>
      </w:tabs>
      <w:spacing w:before="60" w:after="60"/>
      <w:ind w:left="1361" w:hanging="340"/>
    </w:pPr>
  </w:style>
  <w:style w:type="paragraph" w:styleId="List5">
    <w:name w:val="List 5"/>
    <w:basedOn w:val="BodyText"/>
    <w:rsid w:val="00085C52"/>
    <w:pPr>
      <w:tabs>
        <w:tab w:val="left" w:pos="1701"/>
      </w:tabs>
      <w:spacing w:before="60" w:after="60"/>
      <w:ind w:left="1701" w:hanging="340"/>
    </w:pPr>
  </w:style>
  <w:style w:type="paragraph" w:styleId="ListBullet4">
    <w:name w:val="List Bullet 4"/>
    <w:basedOn w:val="List4"/>
    <w:rsid w:val="00085C52"/>
    <w:pPr>
      <w:numPr>
        <w:numId w:val="4"/>
      </w:numPr>
      <w:tabs>
        <w:tab w:val="clear" w:pos="1361"/>
      </w:tabs>
    </w:pPr>
  </w:style>
  <w:style w:type="paragraph" w:styleId="ListBullet5">
    <w:name w:val="List Bullet 5"/>
    <w:basedOn w:val="List5"/>
    <w:rsid w:val="00085C52"/>
    <w:pPr>
      <w:numPr>
        <w:numId w:val="5"/>
      </w:numPr>
    </w:pPr>
  </w:style>
  <w:style w:type="paragraph" w:styleId="ListContinue2">
    <w:name w:val="List Continue 2"/>
    <w:basedOn w:val="List2"/>
    <w:rsid w:val="00085C52"/>
    <w:pPr>
      <w:ind w:firstLine="0"/>
    </w:pPr>
  </w:style>
  <w:style w:type="paragraph" w:styleId="ListContinue3">
    <w:name w:val="List Continue 3"/>
    <w:basedOn w:val="List3"/>
    <w:rsid w:val="00085C52"/>
    <w:pPr>
      <w:ind w:left="1021" w:firstLine="0"/>
    </w:pPr>
  </w:style>
  <w:style w:type="paragraph" w:styleId="ListContinue4">
    <w:name w:val="List Continue 4"/>
    <w:basedOn w:val="List4"/>
    <w:rsid w:val="00085C52"/>
    <w:pPr>
      <w:ind w:firstLine="0"/>
    </w:pPr>
  </w:style>
  <w:style w:type="paragraph" w:styleId="ListContinue5">
    <w:name w:val="List Continue 5"/>
    <w:basedOn w:val="List5"/>
    <w:rsid w:val="00085C52"/>
    <w:pPr>
      <w:ind w:firstLine="0"/>
    </w:pPr>
  </w:style>
  <w:style w:type="paragraph" w:styleId="ListNumber3">
    <w:name w:val="List Number 3"/>
    <w:basedOn w:val="List3"/>
    <w:rsid w:val="00085C52"/>
    <w:pPr>
      <w:numPr>
        <w:numId w:val="6"/>
      </w:numPr>
    </w:pPr>
  </w:style>
  <w:style w:type="paragraph" w:styleId="ListNumber4">
    <w:name w:val="List Number 4"/>
    <w:basedOn w:val="List4"/>
    <w:rsid w:val="00085C52"/>
    <w:pPr>
      <w:numPr>
        <w:numId w:val="7"/>
      </w:numPr>
    </w:pPr>
  </w:style>
  <w:style w:type="paragraph" w:styleId="ListNumber5">
    <w:name w:val="List Number 5"/>
    <w:basedOn w:val="List5"/>
    <w:rsid w:val="00085C52"/>
    <w:pPr>
      <w:numPr>
        <w:numId w:val="8"/>
      </w:numPr>
    </w:pPr>
  </w:style>
  <w:style w:type="paragraph" w:styleId="BlockText">
    <w:name w:val="Block Text"/>
    <w:basedOn w:val="Normal"/>
    <w:rsid w:val="00085C52"/>
    <w:pPr>
      <w:spacing w:after="120"/>
      <w:ind w:left="1440" w:right="1440"/>
    </w:pPr>
  </w:style>
  <w:style w:type="character" w:customStyle="1" w:styleId="Subscript">
    <w:name w:val="Subscript"/>
    <w:basedOn w:val="DefaultParagraphFont"/>
    <w:rsid w:val="00085C52"/>
    <w:rPr>
      <w:sz w:val="16"/>
      <w:vertAlign w:val="subscript"/>
    </w:rPr>
  </w:style>
  <w:style w:type="character" w:customStyle="1" w:styleId="Superscript">
    <w:name w:val="Superscript"/>
    <w:basedOn w:val="DefaultParagraphFont"/>
    <w:rsid w:val="00085C52"/>
    <w:rPr>
      <w:sz w:val="16"/>
      <w:vertAlign w:val="superscript"/>
    </w:rPr>
  </w:style>
  <w:style w:type="character" w:customStyle="1" w:styleId="Symbols">
    <w:name w:val="Symbols"/>
    <w:basedOn w:val="DefaultParagraphFont"/>
    <w:rsid w:val="00085C52"/>
    <w:rPr>
      <w:rFonts w:ascii="Symbol" w:hAnsi="Symbol"/>
    </w:rPr>
  </w:style>
  <w:style w:type="character" w:customStyle="1" w:styleId="MenuOptions">
    <w:name w:val="Menu Options"/>
    <w:basedOn w:val="DefaultParagraphFont"/>
    <w:rsid w:val="00085C52"/>
    <w:rPr>
      <w:rFonts w:ascii="Arial Narrow" w:hAnsi="Arial Narrow"/>
      <w:smallCaps/>
    </w:rPr>
  </w:style>
  <w:style w:type="character" w:customStyle="1" w:styleId="Buttons">
    <w:name w:val="Buttons"/>
    <w:basedOn w:val="DefaultParagraphFont"/>
    <w:rsid w:val="00085C52"/>
    <w:rPr>
      <w:b/>
    </w:rPr>
  </w:style>
  <w:style w:type="character" w:customStyle="1" w:styleId="Underlined">
    <w:name w:val="Underlined"/>
    <w:basedOn w:val="DefaultParagraphFont"/>
    <w:rsid w:val="00085C52"/>
    <w:rPr>
      <w:u w:val="single"/>
    </w:rPr>
  </w:style>
  <w:style w:type="paragraph" w:customStyle="1" w:styleId="TableBodyTextRight">
    <w:name w:val="Table Body Text Right"/>
    <w:basedOn w:val="TableBodyText"/>
    <w:rsid w:val="00085C52"/>
    <w:pPr>
      <w:widowControl w:val="0"/>
      <w:autoSpaceDE w:val="0"/>
      <w:autoSpaceDN w:val="0"/>
      <w:adjustRightInd w:val="0"/>
      <w:jc w:val="right"/>
    </w:pPr>
    <w:rPr>
      <w:rFonts w:cs="Arial"/>
      <w:szCs w:val="18"/>
    </w:rPr>
  </w:style>
  <w:style w:type="paragraph" w:customStyle="1" w:styleId="CopyrightText">
    <w:name w:val="Copyright Text"/>
    <w:basedOn w:val="BodyText"/>
    <w:rsid w:val="00085C52"/>
    <w:rPr>
      <w:sz w:val="18"/>
    </w:rPr>
  </w:style>
  <w:style w:type="paragraph" w:customStyle="1" w:styleId="BodySmallRight">
    <w:name w:val="Body Small Right"/>
    <w:basedOn w:val="BodyTextRight"/>
    <w:rsid w:val="00085C52"/>
    <w:rPr>
      <w:sz w:val="18"/>
      <w:szCs w:val="18"/>
    </w:rPr>
  </w:style>
  <w:style w:type="paragraph" w:customStyle="1" w:styleId="MarginEdition">
    <w:name w:val="Margin Edition"/>
    <w:basedOn w:val="MarginNote"/>
    <w:rsid w:val="00085C52"/>
    <w:pPr>
      <w:spacing w:before="0" w:after="0"/>
    </w:pPr>
    <w:rPr>
      <w:rFonts w:ascii="Times New Roman" w:hAnsi="Times New Roman"/>
      <w:color w:val="999999"/>
    </w:rPr>
  </w:style>
  <w:style w:type="paragraph" w:customStyle="1" w:styleId="Spacer">
    <w:name w:val="Spacer"/>
    <w:basedOn w:val="Normal"/>
    <w:rsid w:val="00085C52"/>
    <w:rPr>
      <w:sz w:val="2"/>
      <w:szCs w:val="2"/>
    </w:rPr>
  </w:style>
  <w:style w:type="character" w:customStyle="1" w:styleId="Small">
    <w:name w:val="Small"/>
    <w:basedOn w:val="DefaultParagraphFont"/>
    <w:rsid w:val="00085C52"/>
    <w:rPr>
      <w:sz w:val="16"/>
    </w:rPr>
  </w:style>
  <w:style w:type="paragraph" w:customStyle="1" w:styleId="WideTable">
    <w:name w:val="Wide Table"/>
    <w:basedOn w:val="Normal"/>
    <w:rsid w:val="00085C52"/>
    <w:pPr>
      <w:ind w:left="-1418"/>
    </w:pPr>
    <w:rPr>
      <w:sz w:val="2"/>
      <w:szCs w:val="2"/>
    </w:rPr>
  </w:style>
  <w:style w:type="character" w:styleId="PageNumber">
    <w:name w:val="page number"/>
    <w:basedOn w:val="DefaultParagraphFont"/>
    <w:rsid w:val="00085C52"/>
  </w:style>
  <w:style w:type="paragraph" w:styleId="Quote">
    <w:name w:val="Quote"/>
    <w:basedOn w:val="Heading1"/>
    <w:link w:val="QuoteChar"/>
    <w:qFormat/>
    <w:rsid w:val="00085C52"/>
    <w:rPr>
      <w:b w:val="0"/>
      <w:sz w:val="72"/>
      <w:szCs w:val="72"/>
      <w:lang w:val="en-NZ"/>
    </w:rPr>
  </w:style>
  <w:style w:type="character" w:customStyle="1" w:styleId="QuoteChar">
    <w:name w:val="Quote Char"/>
    <w:basedOn w:val="DefaultParagraphFont"/>
    <w:link w:val="Quote"/>
    <w:rsid w:val="00085C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C52"/>
    <w:pPr>
      <w:pageBreakBefore/>
    </w:pPr>
  </w:style>
  <w:style w:type="paragraph" w:customStyle="1" w:styleId="Border">
    <w:name w:val="Border"/>
    <w:basedOn w:val="Normal"/>
    <w:qFormat/>
    <w:rsid w:val="00085C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C52"/>
    <w:rPr>
      <w:b/>
      <w:bCs/>
      <w:i/>
      <w:iCs/>
      <w:color w:val="auto"/>
    </w:rPr>
  </w:style>
  <w:style w:type="paragraph" w:styleId="IntenseQuote">
    <w:name w:val="Intense Quote"/>
    <w:basedOn w:val="Normal"/>
    <w:next w:val="Normal"/>
    <w:link w:val="IntenseQuoteChar"/>
    <w:uiPriority w:val="30"/>
    <w:qFormat/>
    <w:rsid w:val="00085C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C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C52"/>
    <w:rPr>
      <w:smallCaps/>
      <w:color w:val="auto"/>
      <w:u w:val="single"/>
    </w:rPr>
  </w:style>
  <w:style w:type="character" w:styleId="IntenseReference">
    <w:name w:val="Intense Reference"/>
    <w:basedOn w:val="DefaultParagraphFont"/>
    <w:uiPriority w:val="32"/>
    <w:qFormat/>
    <w:rsid w:val="00085C52"/>
    <w:rPr>
      <w:b/>
      <w:bCs/>
      <w:smallCaps/>
      <w:color w:val="auto"/>
      <w:spacing w:val="5"/>
      <w:u w:val="single"/>
    </w:rPr>
  </w:style>
  <w:style w:type="paragraph" w:customStyle="1" w:styleId="2ColumnHeading">
    <w:name w:val="2Column Heading"/>
    <w:basedOn w:val="BodyText"/>
    <w:qFormat/>
    <w:rsid w:val="00085C52"/>
    <w:pPr>
      <w:spacing w:after="60"/>
      <w:ind w:left="-2268"/>
    </w:pPr>
    <w:rPr>
      <w:b/>
    </w:rPr>
  </w:style>
  <w:style w:type="paragraph" w:customStyle="1" w:styleId="Heading1TOC">
    <w:name w:val="Heading1 TOC"/>
    <w:basedOn w:val="Normal"/>
    <w:qFormat/>
    <w:rsid w:val="00085C52"/>
    <w:pPr>
      <w:spacing w:before="240" w:after="120"/>
    </w:pPr>
    <w:rPr>
      <w:rFonts w:ascii="Times New Roman" w:hAnsi="Times New Roman"/>
      <w:b/>
      <w:sz w:val="32"/>
    </w:rPr>
  </w:style>
  <w:style w:type="paragraph" w:customStyle="1" w:styleId="Heading2TOC">
    <w:name w:val="Heading2 TOC"/>
    <w:basedOn w:val="Normal"/>
    <w:qFormat/>
    <w:rsid w:val="00085C52"/>
    <w:pPr>
      <w:spacing w:before="240" w:after="60"/>
    </w:pPr>
    <w:rPr>
      <w:rFonts w:ascii="Times New Roman" w:hAnsi="Times New Roman"/>
      <w:b/>
      <w:sz w:val="28"/>
    </w:rPr>
  </w:style>
  <w:style w:type="character" w:customStyle="1" w:styleId="Underline">
    <w:name w:val="Underline"/>
    <w:basedOn w:val="DefaultParagraphFont"/>
    <w:qFormat/>
    <w:rsid w:val="00085C52"/>
    <w:rPr>
      <w:u w:val="single"/>
    </w:rPr>
  </w:style>
  <w:style w:type="character" w:customStyle="1" w:styleId="BoldandItalics">
    <w:name w:val="Bold and Italics"/>
    <w:qFormat/>
    <w:rsid w:val="00085C52"/>
    <w:rPr>
      <w:b/>
      <w:i/>
      <w:u w:val="none"/>
    </w:rPr>
  </w:style>
  <w:style w:type="paragraph" w:styleId="BalloonText">
    <w:name w:val="Balloon Text"/>
    <w:basedOn w:val="Normal"/>
    <w:link w:val="BalloonTextChar"/>
    <w:rsid w:val="00085C52"/>
    <w:rPr>
      <w:rFonts w:ascii="Tahoma" w:hAnsi="Tahoma" w:cs="Tahoma"/>
      <w:sz w:val="16"/>
      <w:szCs w:val="16"/>
    </w:rPr>
  </w:style>
  <w:style w:type="character" w:customStyle="1" w:styleId="BalloonTextChar">
    <w:name w:val="Balloon Text Char"/>
    <w:basedOn w:val="DefaultParagraphFont"/>
    <w:link w:val="BalloonText"/>
    <w:rsid w:val="00085C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C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C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C52"/>
    <w:rPr>
      <w:b/>
      <w:color w:val="660033"/>
      <w:spacing w:val="0"/>
    </w:rPr>
  </w:style>
  <w:style w:type="paragraph" w:customStyle="1" w:styleId="Nameditemlist">
    <w:name w:val="Named item list"/>
    <w:basedOn w:val="BodyText"/>
    <w:qFormat/>
    <w:rsid w:val="00085C52"/>
    <w:pPr>
      <w:tabs>
        <w:tab w:val="left" w:pos="2835"/>
      </w:tabs>
      <w:ind w:left="2835" w:hanging="2835"/>
    </w:pPr>
  </w:style>
  <w:style w:type="paragraph" w:customStyle="1" w:styleId="BodyTextnopadding">
    <w:name w:val="Body Text no padding"/>
    <w:basedOn w:val="BodyText"/>
    <w:qFormat/>
    <w:rsid w:val="00085C52"/>
    <w:pPr>
      <w:spacing w:before="0" w:after="0"/>
    </w:pPr>
  </w:style>
  <w:style w:type="paragraph" w:customStyle="1" w:styleId="BodyTextBold">
    <w:name w:val="Body Text Bold"/>
    <w:basedOn w:val="BodyText"/>
    <w:qFormat/>
    <w:rsid w:val="00085C52"/>
    <w:rPr>
      <w:b/>
    </w:rPr>
  </w:style>
  <w:style w:type="character" w:styleId="Hyperlink">
    <w:name w:val="Hyperlink"/>
    <w:basedOn w:val="DefaultParagraphFont"/>
    <w:uiPriority w:val="99"/>
    <w:unhideWhenUsed/>
    <w:rsid w:val="007D70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4777</Characters>
  <Application>Microsoft Office Word</Application>
  <DocSecurity>0</DocSecurity>
  <Lines>125</Lines>
  <Paragraphs>105</Paragraphs>
  <ScaleCrop>false</ScaleCrop>
  <Company>Author-it Software Corporation Ltd.</Company>
  <LinksUpToDate>false</LinksUpToDate>
  <CharactersWithSpaces>5370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HLTPHA005 Conduct small scale compounding and labelling of pharmaceutical products</dc:title>
  <dc:subject>Approved</dc:subject>
  <dc:creator>SkillsIQ</dc:creator>
  <cp:keywords>Release: 1</cp:keywords>
  <dc:description>Review Date: 12 April 2008</dc:description>
  <cp:lastModifiedBy>HSD_TPCMSd.prod</cp:lastModifiedBy>
  <cp:revision>3</cp:revision>
  <dcterms:created xsi:type="dcterms:W3CDTF">2022-04-08T09:30:00Z</dcterms:created>
  <dcterms:modified xsi:type="dcterms:W3CDTF">2022-04-08T09:30:00Z</dcterms:modified>
</cp:coreProperties>
</file>