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DF0" w:rsidP="00757DF0">
      <w:pPr>
        <w:pStyle w:val="Title"/>
      </w:pPr>
      <w:r>
        <w:fldChar w:fldCharType="begin"/>
      </w:r>
      <w:r>
        <w:instrText xml:space="preserve"> TITLE   \* MERGEFORMAT </w:instrText>
      </w:r>
      <w:r>
        <w:fldChar w:fldCharType="separate"/>
      </w:r>
      <w:r>
        <w:t>Assessment Requirements for HLTPHA002 Pack pharmaceutical products</w:t>
      </w:r>
      <w:r>
        <w:fldChar w:fldCharType="end"/>
      </w:r>
    </w:p>
    <w:p w:rsidR="00757DF0" w:rsidP="00757DF0">
      <w:pPr>
        <w:pStyle w:val="Version"/>
        <w:sectPr w:rsidSect="009D1A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A76" w:rsidP="009D1A76">
      <w:pPr>
        <w:pStyle w:val="SuperHeading"/>
      </w:pPr>
      <w:r w:rsidRPr="009D1A76">
        <w:t>Assessment Requirements for HLTPHA002 Pack pharmaceutical products</w:t>
      </w:r>
    </w:p>
    <w:p w:rsidR="00000000" w:rsidRPr="009D1A76" w:rsidP="009D1A76">
      <w:pPr>
        <w:pStyle w:val="Heading1"/>
      </w:pPr>
      <w:bookmarkStart w:id="1" w:name="O_657166"/>
      <w:bookmarkEnd w:id="1"/>
      <w:r w:rsidRPr="009D1A76">
        <w:t>Modification History</w:t>
      </w:r>
    </w:p>
    <w:tbl>
      <w:tblPr>
        <w:tblW w:w="0" w:type="auto"/>
        <w:tblLayout w:type="fixed"/>
        <w:tblCellMar>
          <w:left w:w="62" w:type="dxa"/>
          <w:right w:w="62" w:type="dxa"/>
        </w:tblCellMar>
        <w:tblLook w:val="0000"/>
      </w:tblPr>
      <w:tblGrid>
        <w:gridCol w:w="2790"/>
        <w:gridCol w:w="6344"/>
      </w:tblGrid>
      <w:tr w:rsidTr="009D1A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76" w:rsidP="009D1A76">
            <w:pPr>
              <w:pStyle w:val="BodyText"/>
            </w:pPr>
            <w:r w:rsidRPr="009D1A7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76">
            <w:pPr>
              <w:pStyle w:val="BodyText"/>
              <w:rPr>
                <w:lang w:val="en-NZ"/>
              </w:rPr>
            </w:pPr>
            <w:r w:rsidRPr="009D1A76">
              <w:rPr>
                <w:rStyle w:val="SpecialBold"/>
              </w:rPr>
              <w:t>Comments</w:t>
            </w:r>
          </w:p>
        </w:tc>
      </w:tr>
      <w:tr w:rsidTr="009D1A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76">
            <w:pPr>
              <w:pStyle w:val="BodyText"/>
              <w:rPr>
                <w:lang w:val="en-NZ"/>
              </w:rPr>
            </w:pPr>
            <w:r w:rsidRPr="009D1A7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76" w:rsidP="009D1A76">
            <w:pPr>
              <w:pStyle w:val="BodyText"/>
            </w:pPr>
            <w:r w:rsidRPr="009D1A76">
              <w:t xml:space="preserve">This version was released in </w:t>
            </w:r>
            <w:r w:rsidRPr="009D1A76">
              <w:rPr>
                <w:rStyle w:val="Emphasis"/>
              </w:rPr>
              <w:t>HLT Health Training Package release 2.0</w:t>
            </w:r>
            <w:r w:rsidRPr="009D1A76">
              <w:t xml:space="preserve"> and meets the requirements of the 2012 St</w:t>
            </w:r>
            <w:r w:rsidRPr="009D1A76">
              <w:t>andards for Training Packages.</w:t>
            </w:r>
          </w:p>
          <w:p w:rsidR="00000000" w:rsidRPr="009D1A76" w:rsidP="009D1A76">
            <w:pPr>
              <w:pStyle w:val="BodyText"/>
            </w:pPr>
            <w:r w:rsidRPr="009D1A76">
              <w:t>Minimal changes to the elements and performance criteria. New evidence requirements for assessment, including volume and frequency. Significant changes to knowledge evidence.</w:t>
            </w:r>
          </w:p>
        </w:tc>
      </w:tr>
    </w:tbl>
    <w:p w:rsidR="00757DF0" w:rsidP="009D1A76">
      <w:pPr>
        <w:pStyle w:val="BodyText"/>
      </w:pPr>
    </w:p>
    <w:p w:rsidR="00757DF0" w:rsidP="009D1A76">
      <w:pPr>
        <w:pStyle w:val="BodyText"/>
      </w:pPr>
    </w:p>
    <w:p w:rsidR="00000000" w:rsidRPr="009D1A76" w:rsidP="009D1A76">
      <w:pPr>
        <w:pStyle w:val="Heading1"/>
      </w:pPr>
      <w:bookmarkStart w:id="2" w:name="O_657167"/>
      <w:bookmarkEnd w:id="2"/>
      <w:r w:rsidRPr="009D1A76">
        <w:t>Performance Evidence</w:t>
      </w:r>
    </w:p>
    <w:p w:rsidR="00000000" w:rsidRPr="009D1A76" w:rsidP="00757DF0">
      <w:pPr>
        <w:pStyle w:val="BodyText"/>
      </w:pPr>
      <w:r w:rsidRPr="009D1A76">
        <w:t>The candi</w:t>
      </w:r>
      <w:r w:rsidRPr="009D1A76">
        <w:t>date must show evidence of the ability to complete tasks outlined in elements and performance criteria of this unit, manage tasks and manage contingencies in the context of the job role. There must be evidence that the candidate has:</w:t>
      </w:r>
    </w:p>
    <w:p w:rsidR="00000000" w:rsidRPr="009D1A76" w:rsidP="009D1A76">
      <w:pPr>
        <w:pStyle w:val="ListBullet"/>
      </w:pPr>
      <w:r w:rsidRPr="009D1A76">
        <w:t>followed workplace pr</w:t>
      </w:r>
      <w:r w:rsidRPr="009D1A76">
        <w:t>ocedures and safe packaging practices for at least 10 different product batches, including at least 5 dose administration aids (DAAs)/dose administration containers for an individual client</w:t>
      </w:r>
    </w:p>
    <w:p w:rsidR="00000000" w:rsidRPr="009D1A76" w:rsidP="009D1A76">
      <w:pPr>
        <w:pStyle w:val="ListBullet"/>
      </w:pPr>
      <w:r w:rsidRPr="009D1A76">
        <w:t>identified issues outside scope of own practice and referred to th</w:t>
      </w:r>
      <w:r w:rsidRPr="009D1A76">
        <w:t>e authorised person</w:t>
      </w:r>
    </w:p>
    <w:p w:rsidR="00000000" w:rsidRPr="009D1A76" w:rsidP="009D1A76">
      <w:pPr>
        <w:pStyle w:val="AllowPageBreak"/>
      </w:pPr>
    </w:p>
    <w:p w:rsidR="00000000" w:rsidRPr="009D1A76" w:rsidP="009D1A76">
      <w:pPr>
        <w:pStyle w:val="Heading1"/>
      </w:pPr>
      <w:bookmarkStart w:id="3" w:name="O_657168"/>
      <w:bookmarkEnd w:id="3"/>
      <w:r w:rsidRPr="009D1A76">
        <w:t>Knowledge Evidence</w:t>
      </w:r>
    </w:p>
    <w:p w:rsidR="00000000" w:rsidRPr="009D1A76" w:rsidP="00757DF0">
      <w:pPr>
        <w:pStyle w:val="BodyText"/>
      </w:pPr>
      <w:r w:rsidRPr="009D1A76">
        <w:t xml:space="preserve">The candidate must be able to demonstrate essential knowledge required to effectively complete tasks outlined in elements and performance criteria of </w:t>
      </w:r>
      <w:r w:rsidRPr="009D1A76">
        <w:t>this unit, manage tasks and manage contingencies in the context of the work role. This includes knowledge of:</w:t>
      </w:r>
    </w:p>
    <w:p w:rsidR="00000000" w:rsidRPr="009D1A76" w:rsidP="009D1A76">
      <w:pPr>
        <w:pStyle w:val="ListBullet"/>
      </w:pPr>
      <w:r w:rsidRPr="009D1A76">
        <w:t>legal and ethical requirements (national, state/territory) for pharmacy work, and how these are applied in organisations, including:</w:t>
      </w:r>
    </w:p>
    <w:p w:rsidR="00000000" w:rsidRPr="009D1A76" w:rsidP="009D1A76">
      <w:pPr>
        <w:pStyle w:val="ListBullet2"/>
      </w:pPr>
      <w:r w:rsidRPr="009D1A76">
        <w:t>codes of co</w:t>
      </w:r>
      <w:r w:rsidRPr="009D1A76">
        <w:t>nduct</w:t>
      </w:r>
    </w:p>
    <w:p w:rsidR="00000000" w:rsidRPr="009D1A76" w:rsidP="009D1A76">
      <w:pPr>
        <w:pStyle w:val="ListBullet2"/>
      </w:pPr>
      <w:r w:rsidRPr="009D1A76">
        <w:t>duty of care (and implications of negligence)</w:t>
      </w:r>
    </w:p>
    <w:p w:rsidR="00000000" w:rsidRPr="009D1A76" w:rsidP="009D1A76">
      <w:pPr>
        <w:pStyle w:val="ListBullet2"/>
      </w:pPr>
      <w:r w:rsidRPr="009D1A76">
        <w:t>privacy, confidentiality and disclosure</w:t>
      </w:r>
    </w:p>
    <w:p w:rsidR="00000000" w:rsidRPr="009D1A76" w:rsidP="009D1A76">
      <w:pPr>
        <w:pStyle w:val="ListBullet2"/>
      </w:pPr>
      <w:r w:rsidRPr="009D1A76">
        <w:t xml:space="preserve">records management </w:t>
      </w:r>
    </w:p>
    <w:p w:rsidR="00000000" w:rsidRPr="009D1A76" w:rsidP="009D1A76">
      <w:pPr>
        <w:pStyle w:val="ListBullet2"/>
      </w:pPr>
      <w:r w:rsidRPr="009D1A76">
        <w:t>rights and responsibilities of workers, employers and clients</w:t>
      </w:r>
    </w:p>
    <w:p w:rsidR="00000000" w:rsidRPr="009D1A76" w:rsidP="009D1A76">
      <w:pPr>
        <w:pStyle w:val="ListBullet2"/>
      </w:pPr>
      <w:r w:rsidRPr="009D1A76">
        <w:t>specific legislation:</w:t>
      </w:r>
    </w:p>
    <w:p w:rsidR="00000000" w:rsidRPr="009D1A76" w:rsidP="009D1A76">
      <w:pPr>
        <w:pStyle w:val="ListBullet3"/>
      </w:pPr>
      <w:r w:rsidRPr="009D1A76">
        <w:t>medicines and their use</w:t>
      </w:r>
    </w:p>
    <w:p w:rsidR="00000000" w:rsidRPr="009D1A76" w:rsidP="009D1A76">
      <w:pPr>
        <w:pStyle w:val="ListBullet3"/>
      </w:pPr>
      <w:r w:rsidRPr="009D1A76">
        <w:t>the practice of pharmacy</w:t>
      </w:r>
    </w:p>
    <w:p w:rsidR="00000000" w:rsidRPr="009D1A76" w:rsidP="009D1A76">
      <w:pPr>
        <w:pStyle w:val="ListBullet3"/>
      </w:pPr>
      <w:r w:rsidRPr="009D1A76">
        <w:t>different schedules of medicines and pharmaceutical products</w:t>
      </w:r>
    </w:p>
    <w:p w:rsidR="00000000" w:rsidRPr="009D1A76" w:rsidP="009D1A76">
      <w:pPr>
        <w:pStyle w:val="ListBullet2"/>
      </w:pPr>
      <w:r w:rsidRPr="009D1A76">
        <w:t>work role boundaries – responsibilities and limitations</w:t>
      </w:r>
    </w:p>
    <w:p w:rsidR="00000000" w:rsidRPr="009D1A76" w:rsidP="009D1A76">
      <w:pPr>
        <w:pStyle w:val="ListBullet2"/>
      </w:pPr>
      <w:r w:rsidRPr="009D1A76">
        <w:t>work health and safety</w:t>
      </w:r>
    </w:p>
    <w:p w:rsidR="00000000" w:rsidRPr="009D1A76" w:rsidP="009D1A76">
      <w:pPr>
        <w:pStyle w:val="ListBullet"/>
      </w:pPr>
      <w:r w:rsidRPr="009D1A76">
        <w:t>legal requirements and principles of pharmaceutical product labelling (product name, batch numbering and expiry da</w:t>
      </w:r>
      <w:r w:rsidRPr="009D1A76">
        <w:t>te):</w:t>
      </w:r>
    </w:p>
    <w:p w:rsidR="00000000" w:rsidRPr="009D1A76" w:rsidP="009D1A76">
      <w:pPr>
        <w:pStyle w:val="ListBullet2"/>
      </w:pPr>
      <w:r w:rsidRPr="009D1A76">
        <w:t xml:space="preserve">Pharmacy Board of Australia’s </w:t>
      </w:r>
      <w:r w:rsidRPr="009D1A76">
        <w:rPr>
          <w:rStyle w:val="Emphasis"/>
        </w:rPr>
        <w:t>Guidelines on specialised supply arrangements,</w:t>
      </w:r>
      <w:r w:rsidRPr="009D1A76">
        <w:t xml:space="preserve"> national guidelines and legislation on the filling of dose administration containers </w:t>
      </w:r>
    </w:p>
    <w:p w:rsidR="00000000" w:rsidRPr="009D1A76" w:rsidP="009D1A76">
      <w:pPr>
        <w:pStyle w:val="ListBullet2"/>
      </w:pPr>
      <w:r w:rsidRPr="009D1A76">
        <w:t>specific labelling requirements for filling DAAs and other containers</w:t>
      </w:r>
    </w:p>
    <w:p w:rsidR="00000000" w:rsidRPr="009D1A76" w:rsidP="009D1A76">
      <w:pPr>
        <w:pStyle w:val="ListBullet2"/>
      </w:pPr>
      <w:r w:rsidRPr="009D1A76">
        <w:t>key information for inclusion:</w:t>
      </w:r>
    </w:p>
    <w:p w:rsidR="00000000" w:rsidRPr="009D1A76" w:rsidP="009D1A76">
      <w:pPr>
        <w:pStyle w:val="ListBullet3"/>
      </w:pPr>
      <w:r w:rsidRPr="009D1A76">
        <w:t>date on which the container was filled</w:t>
      </w:r>
    </w:p>
    <w:p w:rsidR="00000000" w:rsidRPr="009D1A76" w:rsidP="009D1A76">
      <w:pPr>
        <w:pStyle w:val="ListBullet3"/>
      </w:pPr>
      <w:r w:rsidRPr="009D1A76">
        <w:t>directions for use of each medicine according to work sheet</w:t>
      </w:r>
    </w:p>
    <w:p w:rsidR="00000000" w:rsidRPr="009D1A76" w:rsidP="009D1A76">
      <w:pPr>
        <w:pStyle w:val="ListBullet3"/>
      </w:pPr>
      <w:r w:rsidRPr="009D1A76">
        <w:t xml:space="preserve">inclusion of ancillary labels, where required </w:t>
      </w:r>
    </w:p>
    <w:p w:rsidR="00000000" w:rsidRPr="009D1A76" w:rsidP="009D1A76">
      <w:pPr>
        <w:pStyle w:val="ListBullet3"/>
      </w:pPr>
      <w:r w:rsidRPr="009D1A76">
        <w:t>name, strength, form and quantity of all medicines supplied in the container</w:t>
      </w:r>
    </w:p>
    <w:p w:rsidR="00000000" w:rsidRPr="009D1A76" w:rsidP="009D1A76">
      <w:pPr>
        <w:pStyle w:val="ListBullet3"/>
      </w:pPr>
      <w:r w:rsidRPr="009D1A76">
        <w:t>p</w:t>
      </w:r>
      <w:r w:rsidRPr="009D1A76">
        <w:t>harmacy details</w:t>
      </w:r>
    </w:p>
    <w:p w:rsidR="00000000" w:rsidRPr="009D1A76" w:rsidP="009D1A76">
      <w:pPr>
        <w:pStyle w:val="ListBullet"/>
      </w:pPr>
      <w:r w:rsidRPr="009D1A76">
        <w:t xml:space="preserve">Pharmacy Board of Australia </w:t>
      </w:r>
      <w:r w:rsidRPr="009D1A76">
        <w:rPr>
          <w:rStyle w:val="Emphasis"/>
        </w:rPr>
        <w:t>Guidelines for dispensing medicines</w:t>
      </w:r>
      <w:r w:rsidRPr="009D1A76">
        <w:t>, that apply to individual workers</w:t>
      </w:r>
    </w:p>
    <w:p w:rsidR="00000000" w:rsidRPr="009D1A76" w:rsidP="009D1A76">
      <w:pPr>
        <w:pStyle w:val="ListBullet"/>
      </w:pPr>
      <w:r w:rsidRPr="009D1A76">
        <w:t>key information in standard pharmaceutical references and their use by pharmacy assistants, including:</w:t>
      </w:r>
    </w:p>
    <w:p w:rsidR="00000000" w:rsidRPr="009D1A76" w:rsidP="009D1A76">
      <w:pPr>
        <w:pStyle w:val="ListBullet2"/>
      </w:pPr>
      <w:r w:rsidRPr="009D1A76">
        <w:rPr>
          <w:rStyle w:val="Emphasis"/>
        </w:rPr>
        <w:t xml:space="preserve">Australian pharmaceutical formulary and handbook </w:t>
      </w:r>
      <w:r w:rsidRPr="009D1A76">
        <w:t>(APF)</w:t>
      </w:r>
    </w:p>
    <w:p w:rsidR="00000000" w:rsidRPr="009D1A76" w:rsidP="009D1A76">
      <w:pPr>
        <w:pStyle w:val="ListBullet2"/>
      </w:pPr>
      <w:r w:rsidRPr="009D1A76">
        <w:t>MIMs</w:t>
      </w:r>
    </w:p>
    <w:p w:rsidR="00000000" w:rsidRPr="009D1A76" w:rsidP="009D1A76">
      <w:pPr>
        <w:pStyle w:val="ListBullet2"/>
      </w:pPr>
      <w:r w:rsidRPr="009D1A76">
        <w:rPr>
          <w:rStyle w:val="Emphasis"/>
        </w:rPr>
        <w:t>Australian medicines handbook</w:t>
      </w:r>
      <w:r w:rsidRPr="009D1A76">
        <w:t xml:space="preserve"> (AMH) </w:t>
      </w:r>
    </w:p>
    <w:p w:rsidR="00000000" w:rsidRPr="009D1A76" w:rsidP="009D1A76">
      <w:pPr>
        <w:pStyle w:val="ListBullet2"/>
      </w:pPr>
      <w:r w:rsidRPr="009D1A76">
        <w:t>Micromedex</w:t>
      </w:r>
    </w:p>
    <w:p w:rsidR="00000000" w:rsidRPr="009D1A76" w:rsidP="009D1A76">
      <w:pPr>
        <w:pStyle w:val="ListBullet"/>
      </w:pPr>
      <w:r w:rsidRPr="009D1A76">
        <w:t>infection control principles and their relevance to pharmaceutical packaging</w:t>
      </w:r>
    </w:p>
    <w:p w:rsidR="00000000" w:rsidRPr="009D1A76" w:rsidP="009D1A76">
      <w:pPr>
        <w:pStyle w:val="ListBullet"/>
      </w:pPr>
      <w:r w:rsidRPr="009D1A76">
        <w:t>features of packaging equipment including their operation, cleaning an</w:t>
      </w:r>
      <w:r w:rsidRPr="009D1A76">
        <w:t xml:space="preserve">d maintenance, including: </w:t>
      </w:r>
    </w:p>
    <w:p w:rsidR="00000000" w:rsidRPr="009D1A76" w:rsidP="009D1A76">
      <w:pPr>
        <w:pStyle w:val="ListBullet2"/>
      </w:pPr>
      <w:r w:rsidRPr="009D1A76">
        <w:t>counting trays</w:t>
      </w:r>
    </w:p>
    <w:p w:rsidR="00000000" w:rsidRPr="009D1A76" w:rsidP="009D1A76">
      <w:pPr>
        <w:pStyle w:val="ListBullet2"/>
      </w:pPr>
      <w:r w:rsidRPr="009D1A76">
        <w:t>irons</w:t>
      </w:r>
    </w:p>
    <w:p w:rsidR="00000000" w:rsidRPr="009D1A76" w:rsidP="009D1A76">
      <w:pPr>
        <w:pStyle w:val="ListBullet2"/>
      </w:pPr>
      <w:r w:rsidRPr="009D1A76">
        <w:t>heat sealing equipment</w:t>
      </w:r>
    </w:p>
    <w:p w:rsidR="00000000" w:rsidRPr="009D1A76" w:rsidP="009D1A76">
      <w:pPr>
        <w:pStyle w:val="ListBullet2"/>
      </w:pPr>
      <w:r w:rsidRPr="009D1A76">
        <w:t>measures</w:t>
      </w:r>
    </w:p>
    <w:p w:rsidR="00000000" w:rsidRPr="009D1A76" w:rsidP="009D1A76">
      <w:pPr>
        <w:pStyle w:val="ListBullet2"/>
      </w:pPr>
      <w:r w:rsidRPr="009D1A76">
        <w:t>scales</w:t>
      </w:r>
    </w:p>
    <w:p w:rsidR="00000000" w:rsidRPr="009D1A76" w:rsidP="009D1A76">
      <w:pPr>
        <w:pStyle w:val="ListBullet2"/>
      </w:pPr>
      <w:r w:rsidRPr="009D1A76">
        <w:t xml:space="preserve">tweezers </w:t>
      </w:r>
    </w:p>
    <w:p w:rsidR="00000000" w:rsidRPr="009D1A76" w:rsidP="009D1A76">
      <w:pPr>
        <w:pStyle w:val="ListBullet"/>
      </w:pPr>
      <w:r w:rsidRPr="009D1A76">
        <w:t>packaging principles and processes, including:</w:t>
      </w:r>
    </w:p>
    <w:p w:rsidR="00000000" w:rsidRPr="009D1A76" w:rsidP="009D1A76">
      <w:pPr>
        <w:pStyle w:val="ListBullet2"/>
      </w:pPr>
      <w:r w:rsidRPr="009D1A76">
        <w:t>calculations, weights and measures</w:t>
      </w:r>
    </w:p>
    <w:p w:rsidR="00000000" w:rsidRPr="009D1A76" w:rsidP="009D1A76">
      <w:pPr>
        <w:pStyle w:val="ListBullet2"/>
      </w:pPr>
      <w:r w:rsidRPr="009D1A76">
        <w:t>properties of container types and selection for use</w:t>
      </w:r>
    </w:p>
    <w:p w:rsidR="00000000" w:rsidRPr="009D1A76" w:rsidP="009D1A76">
      <w:pPr>
        <w:pStyle w:val="ListBullet2"/>
      </w:pPr>
      <w:r w:rsidRPr="009D1A76">
        <w:t>various pack sizes and selection for use</w:t>
      </w:r>
    </w:p>
    <w:p w:rsidR="00000000" w:rsidRPr="009D1A76" w:rsidP="009D1A76">
      <w:pPr>
        <w:pStyle w:val="ListBullet2"/>
      </w:pPr>
      <w:r w:rsidRPr="009D1A76">
        <w:t>types of packaging materials</w:t>
      </w:r>
    </w:p>
    <w:p w:rsidR="00000000" w:rsidRPr="009D1A76" w:rsidP="009D1A76">
      <w:pPr>
        <w:pStyle w:val="ListBullet"/>
      </w:pPr>
      <w:r w:rsidRPr="009D1A76">
        <w:t>environmental conditions required for pharmaceutical packaging related to:</w:t>
      </w:r>
    </w:p>
    <w:p w:rsidR="00000000" w:rsidRPr="009D1A76" w:rsidP="009D1A76">
      <w:pPr>
        <w:pStyle w:val="ListBullet2"/>
      </w:pPr>
      <w:r w:rsidRPr="009D1A76">
        <w:t>humidity, light</w:t>
      </w:r>
    </w:p>
    <w:p w:rsidR="00000000" w:rsidRPr="009D1A76" w:rsidP="009D1A76">
      <w:pPr>
        <w:pStyle w:val="ListBullet2"/>
      </w:pPr>
      <w:r w:rsidRPr="009D1A76">
        <w:t>security</w:t>
      </w:r>
    </w:p>
    <w:p w:rsidR="00000000" w:rsidRPr="009D1A76" w:rsidP="009D1A76">
      <w:pPr>
        <w:pStyle w:val="ListBullet2"/>
      </w:pPr>
      <w:r w:rsidRPr="009D1A76">
        <w:t>temperature</w:t>
      </w:r>
    </w:p>
    <w:p w:rsidR="00000000" w:rsidRPr="009D1A76" w:rsidP="009D1A76">
      <w:pPr>
        <w:pStyle w:val="ListBullet2"/>
      </w:pPr>
      <w:r w:rsidRPr="009D1A76">
        <w:t>ventilation</w:t>
      </w:r>
    </w:p>
    <w:p w:rsidR="00000000" w:rsidRPr="009D1A76" w:rsidP="009D1A76">
      <w:pPr>
        <w:pStyle w:val="ListBullet"/>
      </w:pPr>
      <w:r w:rsidRPr="009D1A76">
        <w:t>product identification and handling, including those for:</w:t>
      </w:r>
    </w:p>
    <w:p w:rsidR="00000000" w:rsidRPr="009D1A76" w:rsidP="009D1A76">
      <w:pPr>
        <w:pStyle w:val="ListBullet2"/>
      </w:pPr>
      <w:r w:rsidRPr="009D1A76">
        <w:t xml:space="preserve">formulary medicines and non-formulary medicines </w:t>
      </w:r>
    </w:p>
    <w:p w:rsidR="00000000" w:rsidRPr="009D1A76" w:rsidP="009D1A76">
      <w:pPr>
        <w:pStyle w:val="ListBullet2"/>
      </w:pPr>
      <w:r w:rsidRPr="009D1A76">
        <w:t>products with the required integrity as well as those whose integrity has been compromised</w:t>
      </w:r>
    </w:p>
    <w:p w:rsidR="00000000" w:rsidRPr="009D1A76" w:rsidP="009D1A76">
      <w:pPr>
        <w:pStyle w:val="ListBullet2"/>
      </w:pPr>
      <w:r w:rsidRPr="009D1A76">
        <w:t>routine handling of products and products requiring special handling</w:t>
      </w:r>
    </w:p>
    <w:p w:rsidR="00000000" w:rsidRPr="009D1A76" w:rsidP="009D1A76">
      <w:pPr>
        <w:pStyle w:val="AllowPageBreak"/>
      </w:pPr>
    </w:p>
    <w:p w:rsidR="00000000" w:rsidRPr="009D1A76" w:rsidP="009D1A76">
      <w:pPr>
        <w:pStyle w:val="Heading1"/>
      </w:pPr>
      <w:bookmarkStart w:id="4" w:name="O_657169"/>
      <w:bookmarkEnd w:id="4"/>
      <w:r w:rsidRPr="009D1A76">
        <w:t>Assessment Conditions</w:t>
      </w:r>
    </w:p>
    <w:p w:rsidR="00000000" w:rsidRPr="009D1A76" w:rsidP="00757DF0">
      <w:pPr>
        <w:pStyle w:val="BodyText"/>
      </w:pPr>
      <w:r w:rsidRPr="009D1A76">
        <w:t xml:space="preserve">Skills must be demonstrated in the workplace or in a simulated environment that reflects workplace conditions. The following conditions must be met for this unit: </w:t>
      </w:r>
    </w:p>
    <w:p w:rsidR="00000000" w:rsidRPr="009D1A76" w:rsidP="009D1A76">
      <w:pPr>
        <w:pStyle w:val="ListBullet"/>
      </w:pPr>
      <w:r w:rsidRPr="009D1A76">
        <w:t xml:space="preserve">use of suitable facilities, equipment and resources, including: </w:t>
      </w:r>
    </w:p>
    <w:p w:rsidR="00000000" w:rsidRPr="009D1A76" w:rsidP="009D1A76">
      <w:pPr>
        <w:pStyle w:val="ListBullet2"/>
      </w:pPr>
      <w:r w:rsidRPr="009D1A76">
        <w:t>weighing and measuring eq</w:t>
      </w:r>
      <w:r w:rsidRPr="009D1A76">
        <w:t>uipment</w:t>
      </w:r>
    </w:p>
    <w:p w:rsidR="00000000" w:rsidRPr="009D1A76" w:rsidP="009D1A76">
      <w:pPr>
        <w:pStyle w:val="ListBullet2"/>
      </w:pPr>
      <w:r w:rsidRPr="009D1A76">
        <w:t>packaging equipment and materials, including DAAs and containers</w:t>
      </w:r>
    </w:p>
    <w:p w:rsidR="00000000" w:rsidRPr="009D1A76" w:rsidP="009D1A76">
      <w:pPr>
        <w:pStyle w:val="ListBullet2"/>
      </w:pPr>
      <w:r w:rsidRPr="009D1A76">
        <w:t>pharmaceutical stock management procedures</w:t>
      </w:r>
    </w:p>
    <w:p w:rsidR="00000000" w:rsidRPr="009D1A76" w:rsidP="009D1A76">
      <w:pPr>
        <w:pStyle w:val="ListBullet"/>
      </w:pPr>
      <w:r w:rsidRPr="009D1A76">
        <w:t>modelling of industry operating conditions, including time constraints for completing packaging activities</w:t>
      </w:r>
    </w:p>
    <w:p w:rsidR="00000000" w:rsidRPr="009D1A76" w:rsidP="009D1A76">
      <w:pPr>
        <w:pStyle w:val="BodyText"/>
      </w:pPr>
    </w:p>
    <w:p w:rsidR="00757DF0" w:rsidP="00757DF0">
      <w:pPr>
        <w:pStyle w:val="BodyText"/>
      </w:pPr>
      <w:r w:rsidRPr="009D1A76">
        <w:t>Assessors must satisfy the Stan</w:t>
      </w:r>
      <w:r w:rsidRPr="009D1A76">
        <w:t>dards for Registered Training Organisations (RTOs) 2015/AQTF mandatory competency requirements for assessors.</w:t>
      </w:r>
    </w:p>
    <w:p w:rsidR="00000000" w:rsidRPr="009D1A76" w:rsidP="009D1A76">
      <w:pPr>
        <w:pStyle w:val="Heading1"/>
      </w:pPr>
      <w:bookmarkStart w:id="5" w:name="O_657172"/>
      <w:bookmarkEnd w:id="5"/>
      <w:r w:rsidRPr="009D1A76">
        <w:t>Links</w:t>
      </w:r>
    </w:p>
    <w:p w:rsidR="00000000" w:rsidRPr="009D1A76" w:rsidP="00757DF0">
      <w:pPr>
        <w:pStyle w:val="BodyText"/>
      </w:pPr>
      <w:r w:rsidRPr="009D1A7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F2482">
        <w:rPr>
          <w:rStyle w:val="Hyperlink"/>
        </w:rPr>
        <w:t>https://vetnet.gov.au/Pages/TrainingDocs.aspx?q=ced1390f-48d9-4ab0-bd50-b015e5485705</w:t>
      </w:r>
      <w:r>
        <w:fldChar w:fldCharType="end"/>
      </w:r>
    </w:p>
    <w:p w:rsidR="00000000" w:rsidRPr="009D1A76" w:rsidP="009D1A76"/>
    <w:sectPr w:rsidSect="009D1A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76" w:rsidRPr="00757DF0" w:rsidP="00757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F0" w:rsidP="009D1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DF0" w:rsidP="009D1A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57DF0" w:rsidP="009D1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A76" w:rsidRPr="00757DF0" w:rsidP="00757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F0" w:rsidRPr="002D2AF8" w:rsidP="009D1A76">
    <w:pPr>
      <w:pStyle w:val="Header"/>
      <w:framePr w:wrap="around"/>
    </w:pPr>
    <w:r>
      <w:fldChar w:fldCharType="begin"/>
    </w:r>
    <w:r>
      <w:instrText xml:space="preserve"> TITLE   \* MERGEFORMAT </w:instrText>
    </w:r>
    <w:r>
      <w:fldChar w:fldCharType="separate"/>
    </w:r>
    <w:r>
      <w:t>Assessment Requirements for HLTPHA002 Pack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57DF0" w:rsidP="009D1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09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8F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14D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A76"/>
    <w:pPr>
      <w:spacing w:before="360" w:after="60"/>
      <w:outlineLvl w:val="0"/>
    </w:pPr>
    <w:rPr>
      <w:sz w:val="32"/>
    </w:rPr>
  </w:style>
  <w:style w:type="paragraph" w:styleId="Heading2">
    <w:name w:val="heading 2"/>
    <w:basedOn w:val="HeadingBase"/>
    <w:next w:val="BodyText"/>
    <w:link w:val="Heading2Char"/>
    <w:qFormat/>
    <w:rsid w:val="009D1A76"/>
    <w:pPr>
      <w:keepLines/>
      <w:spacing w:before="240" w:after="120"/>
      <w:outlineLvl w:val="1"/>
    </w:pPr>
    <w:rPr>
      <w:sz w:val="28"/>
      <w:szCs w:val="40"/>
    </w:rPr>
  </w:style>
  <w:style w:type="paragraph" w:styleId="Heading3">
    <w:name w:val="heading 3"/>
    <w:basedOn w:val="HeadingBase"/>
    <w:next w:val="BodyText"/>
    <w:link w:val="Heading3Char"/>
    <w:qFormat/>
    <w:rsid w:val="009D1A76"/>
    <w:pPr>
      <w:spacing w:before="180" w:after="120"/>
      <w:outlineLvl w:val="2"/>
    </w:pPr>
    <w:rPr>
      <w:spacing w:val="-10"/>
      <w:kern w:val="32"/>
    </w:rPr>
  </w:style>
  <w:style w:type="paragraph" w:styleId="Heading4">
    <w:name w:val="heading 4"/>
    <w:basedOn w:val="HeadingBase"/>
    <w:next w:val="BodyText"/>
    <w:link w:val="Heading4Char"/>
    <w:qFormat/>
    <w:rsid w:val="009D1A76"/>
    <w:pPr>
      <w:spacing w:before="160" w:after="120"/>
      <w:outlineLvl w:val="3"/>
    </w:pPr>
    <w:rPr>
      <w:sz w:val="22"/>
    </w:rPr>
  </w:style>
  <w:style w:type="paragraph" w:styleId="Heading5">
    <w:name w:val="heading 5"/>
    <w:basedOn w:val="HeadingBase"/>
    <w:next w:val="Normal"/>
    <w:link w:val="Heading5Char"/>
    <w:qFormat/>
    <w:rsid w:val="009D1A76"/>
    <w:pPr>
      <w:spacing w:before="80"/>
      <w:outlineLvl w:val="4"/>
    </w:pPr>
    <w:rPr>
      <w:color w:val="918585"/>
      <w:sz w:val="20"/>
    </w:rPr>
  </w:style>
  <w:style w:type="paragraph" w:styleId="Heading6">
    <w:name w:val="heading 6"/>
    <w:basedOn w:val="HeadingBase"/>
    <w:next w:val="Normal"/>
    <w:link w:val="Heading6Char"/>
    <w:qFormat/>
    <w:rsid w:val="009D1A76"/>
    <w:pPr>
      <w:spacing w:before="60"/>
      <w:outlineLvl w:val="5"/>
    </w:pPr>
    <w:rPr>
      <w:color w:val="918585"/>
      <w:sz w:val="20"/>
    </w:rPr>
  </w:style>
  <w:style w:type="paragraph" w:styleId="Heading7">
    <w:name w:val="heading 7"/>
    <w:basedOn w:val="Normal"/>
    <w:next w:val="Normal"/>
    <w:link w:val="Heading7Char"/>
    <w:qFormat/>
    <w:rsid w:val="009D1A76"/>
    <w:pPr>
      <w:ind w:left="720"/>
      <w:outlineLvl w:val="6"/>
    </w:pPr>
    <w:rPr>
      <w:i/>
    </w:rPr>
  </w:style>
  <w:style w:type="paragraph" w:styleId="Heading8">
    <w:name w:val="heading 8"/>
    <w:basedOn w:val="Normal"/>
    <w:next w:val="Normal"/>
    <w:link w:val="Heading8Char"/>
    <w:qFormat/>
    <w:rsid w:val="009D1A76"/>
    <w:pPr>
      <w:ind w:left="720"/>
      <w:outlineLvl w:val="7"/>
    </w:pPr>
    <w:rPr>
      <w:i/>
    </w:rPr>
  </w:style>
  <w:style w:type="paragraph" w:styleId="Heading9">
    <w:name w:val="heading 9"/>
    <w:basedOn w:val="Normal"/>
    <w:next w:val="Normal"/>
    <w:link w:val="Heading9Char"/>
    <w:qFormat/>
    <w:rsid w:val="009D1A76"/>
    <w:pPr>
      <w:ind w:left="720"/>
      <w:outlineLvl w:val="8"/>
    </w:pPr>
    <w:rPr>
      <w:i/>
    </w:rPr>
  </w:style>
  <w:style w:type="character" w:default="1" w:styleId="DefaultParagraphFont">
    <w:name w:val="Default Paragraph Font"/>
    <w:uiPriority w:val="1"/>
    <w:unhideWhenUsed/>
    <w:rsid w:val="009D1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A76"/>
  </w:style>
  <w:style w:type="character" w:customStyle="1" w:styleId="Heading1Char">
    <w:name w:val="Heading 1 Char"/>
    <w:basedOn w:val="DefaultParagraphFont"/>
    <w:link w:val="Heading1"/>
    <w:rsid w:val="009D1A76"/>
    <w:rPr>
      <w:rFonts w:ascii="Times New Roman" w:eastAsia="Times New Roman" w:hAnsi="Times New Roman" w:cs="Times New Roman"/>
      <w:b/>
      <w:sz w:val="32"/>
      <w:szCs w:val="20"/>
      <w:lang w:eastAsia="en-US"/>
    </w:rPr>
  </w:style>
  <w:style w:type="paragraph" w:styleId="BodyText">
    <w:name w:val="Body Text"/>
    <w:basedOn w:val="Normal"/>
    <w:link w:val="BodyTextChar"/>
    <w:rsid w:val="009D1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A76"/>
    <w:rPr>
      <w:rFonts w:ascii="Times New Roman" w:eastAsia="Times New Roman" w:hAnsi="Times New Roman" w:cs="Times New Roman"/>
      <w:sz w:val="24"/>
      <w:lang w:eastAsia="en-US"/>
    </w:rPr>
  </w:style>
  <w:style w:type="paragraph" w:styleId="ListBullet">
    <w:name w:val="List Bullet"/>
    <w:basedOn w:val="List"/>
    <w:rsid w:val="009D1A76"/>
    <w:pPr>
      <w:numPr>
        <w:numId w:val="13"/>
      </w:numPr>
      <w:tabs>
        <w:tab w:val="clear" w:pos="340"/>
      </w:tabs>
      <w:spacing w:before="40" w:after="40"/>
    </w:pPr>
  </w:style>
  <w:style w:type="character" w:customStyle="1" w:styleId="SpecialBold">
    <w:name w:val="Special Bold"/>
    <w:basedOn w:val="DefaultParagraphFont"/>
    <w:rsid w:val="009D1A76"/>
    <w:rPr>
      <w:b/>
      <w:spacing w:val="0"/>
    </w:rPr>
  </w:style>
  <w:style w:type="paragraph" w:styleId="ListBullet2">
    <w:name w:val="List Bullet 2"/>
    <w:basedOn w:val="List2"/>
    <w:rsid w:val="009D1A76"/>
    <w:pPr>
      <w:numPr>
        <w:numId w:val="14"/>
      </w:numPr>
      <w:tabs>
        <w:tab w:val="clear" w:pos="680"/>
      </w:tabs>
    </w:pPr>
  </w:style>
  <w:style w:type="character" w:styleId="Emphasis">
    <w:name w:val="Emphasis"/>
    <w:basedOn w:val="DefaultParagraphFont"/>
    <w:qFormat/>
    <w:rsid w:val="009D1A76"/>
    <w:rPr>
      <w:i/>
    </w:rPr>
  </w:style>
  <w:style w:type="paragraph" w:customStyle="1" w:styleId="SuperHeading">
    <w:name w:val="SuperHeading"/>
    <w:basedOn w:val="Normal"/>
    <w:rsid w:val="009D1A76"/>
    <w:pPr>
      <w:spacing w:before="240" w:after="120"/>
      <w:outlineLvl w:val="0"/>
    </w:pPr>
    <w:rPr>
      <w:rFonts w:ascii="Times New Roman" w:hAnsi="Times New Roman"/>
      <w:b/>
      <w:sz w:val="32"/>
    </w:rPr>
  </w:style>
  <w:style w:type="paragraph" w:customStyle="1" w:styleId="AllowPageBreak">
    <w:name w:val="AllowPageBreak"/>
    <w:rsid w:val="009D1A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1A76"/>
    <w:pPr>
      <w:numPr>
        <w:numId w:val="3"/>
      </w:numPr>
      <w:tabs>
        <w:tab w:val="clear" w:pos="1021"/>
      </w:tabs>
      <w:ind w:left="1037" w:hanging="357"/>
    </w:pPr>
  </w:style>
  <w:style w:type="character" w:customStyle="1" w:styleId="Heading2Char">
    <w:name w:val="Heading 2 Char"/>
    <w:basedOn w:val="DefaultParagraphFont"/>
    <w:link w:val="Heading2"/>
    <w:rsid w:val="009D1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A76"/>
    <w:rPr>
      <w:rFonts w:ascii="Courier New" w:eastAsia="Times New Roman" w:hAnsi="Courier New" w:cs="Times New Roman"/>
      <w:i/>
      <w:szCs w:val="20"/>
      <w:lang w:eastAsia="en-US"/>
    </w:rPr>
  </w:style>
  <w:style w:type="paragraph" w:customStyle="1" w:styleId="HeadingBase">
    <w:name w:val="Heading Base"/>
    <w:rsid w:val="009D1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A76"/>
    <w:pPr>
      <w:tabs>
        <w:tab w:val="right" w:leader="dot" w:pos="9072"/>
      </w:tabs>
      <w:ind w:left="567"/>
    </w:pPr>
    <w:rPr>
      <w:szCs w:val="22"/>
    </w:rPr>
  </w:style>
  <w:style w:type="paragraph" w:customStyle="1" w:styleId="TOCBase">
    <w:name w:val="TOC Base"/>
    <w:rsid w:val="009D1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A76"/>
    <w:pPr>
      <w:tabs>
        <w:tab w:val="right" w:leader="dot" w:pos="9072"/>
      </w:tabs>
      <w:spacing w:before="40" w:after="40"/>
      <w:ind w:left="284"/>
    </w:pPr>
    <w:rPr>
      <w:rFonts w:ascii="Times New Roman" w:hAnsi="Times New Roman"/>
    </w:rPr>
  </w:style>
  <w:style w:type="paragraph" w:styleId="TOC1">
    <w:name w:val="toc 1"/>
    <w:basedOn w:val="TOCBase"/>
    <w:next w:val="Normal"/>
    <w:rsid w:val="009D1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A76"/>
    <w:rPr>
      <w:rFonts w:ascii="Times New Roman" w:eastAsia="Times New Roman" w:hAnsi="Times New Roman" w:cs="Times New Roman"/>
      <w:sz w:val="16"/>
      <w:lang w:eastAsia="en-US"/>
    </w:rPr>
  </w:style>
  <w:style w:type="paragraph" w:styleId="Title">
    <w:name w:val="Title"/>
    <w:basedOn w:val="HeadingBase"/>
    <w:link w:val="TitleChar"/>
    <w:qFormat/>
    <w:rsid w:val="009D1A76"/>
    <w:pPr>
      <w:spacing w:before="5040"/>
      <w:jc w:val="center"/>
    </w:pPr>
    <w:rPr>
      <w:sz w:val="48"/>
      <w:szCs w:val="72"/>
      <w:lang w:val="en-US"/>
    </w:rPr>
  </w:style>
  <w:style w:type="character" w:customStyle="1" w:styleId="TitleChar">
    <w:name w:val="Title Char"/>
    <w:basedOn w:val="DefaultParagraphFont"/>
    <w:link w:val="Title"/>
    <w:rsid w:val="009D1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A76"/>
    <w:pPr>
      <w:tabs>
        <w:tab w:val="left" w:pos="3600"/>
        <w:tab w:val="left" w:pos="3958"/>
      </w:tabs>
    </w:pPr>
  </w:style>
  <w:style w:type="paragraph" w:styleId="List">
    <w:name w:val="List"/>
    <w:basedOn w:val="BodyText"/>
    <w:next w:val="BodyText"/>
    <w:rsid w:val="009D1A76"/>
    <w:pPr>
      <w:tabs>
        <w:tab w:val="left" w:pos="340"/>
      </w:tabs>
      <w:spacing w:before="60" w:after="60"/>
      <w:ind w:left="340" w:hanging="340"/>
    </w:pPr>
  </w:style>
  <w:style w:type="paragraph" w:customStyle="1" w:styleId="Note">
    <w:name w:val="Note"/>
    <w:basedOn w:val="BodyText"/>
    <w:rsid w:val="009D1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A76"/>
    <w:pPr>
      <w:framePr w:wrap="auto" w:hAnchor="text" w:y="6049"/>
    </w:pPr>
    <w:rPr>
      <w:color w:val="000000"/>
      <w:sz w:val="40"/>
    </w:rPr>
  </w:style>
  <w:style w:type="paragraph" w:customStyle="1" w:styleId="TOCTitle">
    <w:name w:val="TOCTitle"/>
    <w:basedOn w:val="Heading1"/>
    <w:rsid w:val="009D1A76"/>
    <w:pPr>
      <w:spacing w:after="240"/>
      <w:jc w:val="center"/>
      <w:outlineLvl w:val="9"/>
    </w:pPr>
    <w:rPr>
      <w:caps/>
    </w:rPr>
  </w:style>
  <w:style w:type="paragraph" w:customStyle="1" w:styleId="Version">
    <w:name w:val="Version"/>
    <w:rsid w:val="009D1A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A76"/>
    <w:pPr>
      <w:keepNext w:val="0"/>
      <w:tabs>
        <w:tab w:val="right" w:pos="4176"/>
      </w:tabs>
      <w:ind w:left="198" w:hanging="198"/>
    </w:pPr>
    <w:rPr>
      <w:rFonts w:ascii="Garamond" w:hAnsi="Garamond"/>
    </w:rPr>
  </w:style>
  <w:style w:type="paragraph" w:styleId="IndexHeading">
    <w:name w:val="index heading"/>
    <w:basedOn w:val="Normal"/>
    <w:next w:val="Index1"/>
    <w:semiHidden/>
    <w:rsid w:val="009D1A76"/>
    <w:pPr>
      <w:spacing w:before="120" w:after="120"/>
    </w:pPr>
    <w:rPr>
      <w:rFonts w:ascii="Arial" w:hAnsi="Arial"/>
      <w:b/>
      <w:color w:val="918585"/>
      <w:sz w:val="24"/>
    </w:rPr>
  </w:style>
  <w:style w:type="paragraph" w:styleId="Header">
    <w:name w:val="header"/>
    <w:basedOn w:val="Normal"/>
    <w:link w:val="HeaderChar"/>
    <w:rsid w:val="009D1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A76"/>
    <w:rPr>
      <w:rFonts w:ascii="Times New Roman" w:eastAsia="Times New Roman" w:hAnsi="Times New Roman" w:cs="Times New Roman"/>
      <w:sz w:val="16"/>
      <w:szCs w:val="20"/>
      <w:lang w:val="en-GB" w:eastAsia="en-US"/>
    </w:rPr>
  </w:style>
  <w:style w:type="paragraph" w:customStyle="1" w:styleId="Chapter">
    <w:name w:val="Chapter"/>
    <w:basedOn w:val="Normal"/>
    <w:rsid w:val="009D1A76"/>
    <w:pPr>
      <w:spacing w:before="240"/>
    </w:pPr>
    <w:rPr>
      <w:rFonts w:ascii="Times New Roman" w:hAnsi="Times New Roman"/>
      <w:smallCaps/>
      <w:spacing w:val="80"/>
      <w:sz w:val="28"/>
    </w:rPr>
  </w:style>
  <w:style w:type="paragraph" w:customStyle="1" w:styleId="InChapter">
    <w:name w:val="InChapter"/>
    <w:basedOn w:val="Heading3"/>
    <w:rsid w:val="009D1A76"/>
    <w:pPr>
      <w:spacing w:after="240"/>
      <w:outlineLvl w:val="9"/>
    </w:pPr>
    <w:rPr>
      <w:noProof/>
    </w:rPr>
  </w:style>
  <w:style w:type="paragraph" w:styleId="Index2">
    <w:name w:val="index 2"/>
    <w:basedOn w:val="Normal"/>
    <w:next w:val="Normal"/>
    <w:semiHidden/>
    <w:rsid w:val="009D1A76"/>
    <w:pPr>
      <w:tabs>
        <w:tab w:val="right" w:pos="4176"/>
      </w:tabs>
      <w:ind w:left="568" w:hanging="284"/>
    </w:pPr>
    <w:rPr>
      <w:rFonts w:ascii="Garamond" w:hAnsi="Garamond"/>
    </w:rPr>
  </w:style>
  <w:style w:type="paragraph" w:customStyle="1" w:styleId="Byline">
    <w:name w:val="Byline"/>
    <w:rsid w:val="009D1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A76"/>
    <w:pPr>
      <w:tabs>
        <w:tab w:val="clear" w:pos="3600"/>
        <w:tab w:val="clear" w:pos="3958"/>
      </w:tabs>
      <w:jc w:val="right"/>
    </w:pPr>
  </w:style>
  <w:style w:type="paragraph" w:styleId="Caption">
    <w:name w:val="caption"/>
    <w:basedOn w:val="BodyText"/>
    <w:next w:val="Normal"/>
    <w:qFormat/>
    <w:rsid w:val="009D1A76"/>
    <w:pPr>
      <w:framePr w:w="2268" w:hSpace="181" w:vSpace="181" w:wrap="around" w:vAnchor="text" w:hAnchor="page" w:x="1135" w:y="285" w:anchorLock="1"/>
    </w:pPr>
    <w:rPr>
      <w:i/>
    </w:rPr>
  </w:style>
  <w:style w:type="paragraph" w:customStyle="1" w:styleId="MiniTOCTitle">
    <w:name w:val="MiniTOCTitle"/>
    <w:basedOn w:val="Heading4"/>
    <w:rsid w:val="009D1A76"/>
    <w:pPr>
      <w:spacing w:before="240"/>
      <w:outlineLvl w:val="9"/>
    </w:pPr>
    <w:rPr>
      <w:noProof/>
      <w:sz w:val="24"/>
    </w:rPr>
  </w:style>
  <w:style w:type="paragraph" w:customStyle="1" w:styleId="MiniTOCItem">
    <w:name w:val="MiniTOCItem"/>
    <w:basedOn w:val="ListBullet"/>
    <w:rsid w:val="009D1A76"/>
    <w:pPr>
      <w:numPr>
        <w:numId w:val="0"/>
      </w:numPr>
      <w:tabs>
        <w:tab w:val="right" w:leader="dot" w:pos="6521"/>
      </w:tabs>
      <w:spacing w:before="0" w:after="0"/>
    </w:pPr>
  </w:style>
  <w:style w:type="paragraph" w:customStyle="1" w:styleId="TOFTitle">
    <w:name w:val="TOFTitle"/>
    <w:basedOn w:val="TOCTitle"/>
    <w:rsid w:val="009D1A76"/>
  </w:style>
  <w:style w:type="paragraph" w:styleId="TableofFigures">
    <w:name w:val="table of figures"/>
    <w:basedOn w:val="Normal"/>
    <w:next w:val="Normal"/>
    <w:semiHidden/>
    <w:rsid w:val="009D1A76"/>
    <w:pPr>
      <w:tabs>
        <w:tab w:val="right" w:leader="dot" w:pos="9072"/>
      </w:tabs>
      <w:ind w:left="970" w:hanging="403"/>
    </w:pPr>
    <w:rPr>
      <w:rFonts w:ascii="Times New Roman" w:hAnsi="Times New Roman"/>
      <w:b/>
    </w:rPr>
  </w:style>
  <w:style w:type="paragraph" w:styleId="ListNumber">
    <w:name w:val="List Number"/>
    <w:basedOn w:val="List"/>
    <w:rsid w:val="009D1A76"/>
    <w:pPr>
      <w:numPr>
        <w:numId w:val="16"/>
      </w:numPr>
      <w:tabs>
        <w:tab w:val="clear" w:pos="340"/>
      </w:tabs>
    </w:pPr>
  </w:style>
  <w:style w:type="character" w:customStyle="1" w:styleId="WingdingSymbols">
    <w:name w:val="Wingding Symbols"/>
    <w:rsid w:val="009D1A76"/>
    <w:rPr>
      <w:rFonts w:ascii="Wingdings" w:hAnsi="Wingdings"/>
    </w:rPr>
  </w:style>
  <w:style w:type="paragraph" w:customStyle="1" w:styleId="TableHeading">
    <w:name w:val="Table Heading"/>
    <w:basedOn w:val="HeadingBase"/>
    <w:rsid w:val="009D1A76"/>
    <w:pPr>
      <w:keepLines/>
      <w:pBdr>
        <w:bottom w:val="single" w:sz="6" w:space="1" w:color="918585"/>
      </w:pBdr>
      <w:spacing w:before="240"/>
    </w:pPr>
  </w:style>
  <w:style w:type="character" w:customStyle="1" w:styleId="HotSpot">
    <w:name w:val="HotSpot"/>
    <w:rsid w:val="009D1A76"/>
    <w:rPr>
      <w:color w:val="0033CC"/>
      <w:u w:val="none"/>
    </w:rPr>
  </w:style>
  <w:style w:type="paragraph" w:customStyle="1" w:styleId="BodyTextRight">
    <w:name w:val="Body Text Right"/>
    <w:basedOn w:val="BodyText"/>
    <w:rsid w:val="009D1A76"/>
    <w:pPr>
      <w:spacing w:before="0" w:after="0"/>
      <w:jc w:val="right"/>
    </w:pPr>
  </w:style>
  <w:style w:type="paragraph" w:styleId="Index3">
    <w:name w:val="index 3"/>
    <w:basedOn w:val="ListNumber2"/>
    <w:next w:val="Normal"/>
    <w:semiHidden/>
    <w:rsid w:val="009D1A76"/>
    <w:pPr>
      <w:numPr>
        <w:numId w:val="0"/>
      </w:numPr>
      <w:tabs>
        <w:tab w:val="right" w:leader="dot" w:pos="4176"/>
      </w:tabs>
    </w:pPr>
  </w:style>
  <w:style w:type="paragraph" w:styleId="ListNumber2">
    <w:name w:val="List Number 2"/>
    <w:basedOn w:val="List2"/>
    <w:rsid w:val="009D1A76"/>
    <w:pPr>
      <w:numPr>
        <w:numId w:val="11"/>
      </w:numPr>
      <w:tabs>
        <w:tab w:val="clear" w:pos="1060"/>
      </w:tabs>
    </w:pPr>
  </w:style>
  <w:style w:type="paragraph" w:customStyle="1" w:styleId="MarginNote">
    <w:name w:val="Margin Note"/>
    <w:basedOn w:val="BodyText"/>
    <w:rsid w:val="009D1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A76"/>
    <w:rPr>
      <w:sz w:val="32"/>
    </w:rPr>
  </w:style>
  <w:style w:type="paragraph" w:customStyle="1" w:styleId="HeadingProcedure">
    <w:name w:val="Heading Procedure"/>
    <w:basedOn w:val="HeadingBase"/>
    <w:next w:val="Normal"/>
    <w:rsid w:val="009D1A76"/>
    <w:pPr>
      <w:tabs>
        <w:tab w:val="left" w:pos="0"/>
      </w:tabs>
      <w:spacing w:before="120" w:after="60"/>
    </w:pPr>
    <w:rPr>
      <w:i/>
      <w:color w:val="918585"/>
      <w:sz w:val="22"/>
    </w:rPr>
  </w:style>
  <w:style w:type="paragraph" w:customStyle="1" w:styleId="TableBodyText">
    <w:name w:val="Table Body Text"/>
    <w:basedOn w:val="BodyText"/>
    <w:rsid w:val="009D1A76"/>
    <w:pPr>
      <w:spacing w:before="60" w:after="60"/>
    </w:pPr>
  </w:style>
  <w:style w:type="paragraph" w:styleId="ListContinue">
    <w:name w:val="List Continue"/>
    <w:basedOn w:val="List"/>
    <w:rsid w:val="009D1A76"/>
    <w:pPr>
      <w:ind w:firstLine="0"/>
    </w:pPr>
  </w:style>
  <w:style w:type="paragraph" w:customStyle="1" w:styleId="ListNote">
    <w:name w:val="List Note"/>
    <w:basedOn w:val="List"/>
    <w:rsid w:val="009D1A76"/>
    <w:pPr>
      <w:pBdr>
        <w:top w:val="single" w:sz="6" w:space="2" w:color="918585"/>
        <w:bottom w:val="single" w:sz="6" w:space="2" w:color="918585"/>
      </w:pBdr>
      <w:tabs>
        <w:tab w:val="left" w:pos="1021"/>
      </w:tabs>
      <w:ind w:firstLine="0"/>
    </w:pPr>
  </w:style>
  <w:style w:type="paragraph" w:customStyle="1" w:styleId="Warning">
    <w:name w:val="Warning"/>
    <w:basedOn w:val="BodyText"/>
    <w:rsid w:val="009D1A76"/>
    <w:pPr>
      <w:shd w:val="clear" w:color="auto" w:fill="D9D9D9"/>
      <w:tabs>
        <w:tab w:val="left" w:pos="992"/>
      </w:tabs>
      <w:ind w:left="119" w:right="119"/>
    </w:pPr>
    <w:rPr>
      <w:sz w:val="20"/>
    </w:rPr>
  </w:style>
  <w:style w:type="paragraph" w:customStyle="1" w:styleId="MarginIcons">
    <w:name w:val="Margin Icons"/>
    <w:basedOn w:val="BodyText"/>
    <w:rsid w:val="009D1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A76"/>
    <w:rPr>
      <w:rFonts w:ascii="Courier New" w:hAnsi="Courier New"/>
    </w:rPr>
  </w:style>
  <w:style w:type="paragraph" w:customStyle="1" w:styleId="NoteBullet">
    <w:name w:val="Note Bullet"/>
    <w:basedOn w:val="Note"/>
    <w:rsid w:val="009D1A76"/>
    <w:pPr>
      <w:tabs>
        <w:tab w:val="clear" w:pos="680"/>
      </w:tabs>
      <w:spacing w:before="60" w:after="60"/>
    </w:pPr>
  </w:style>
  <w:style w:type="paragraph" w:customStyle="1" w:styleId="SubHeading2">
    <w:name w:val="SubHeading2"/>
    <w:basedOn w:val="HeadingBase"/>
    <w:rsid w:val="009D1A76"/>
    <w:pPr>
      <w:spacing w:before="240" w:after="60"/>
    </w:pPr>
    <w:rPr>
      <w:sz w:val="20"/>
    </w:rPr>
  </w:style>
  <w:style w:type="paragraph" w:customStyle="1" w:styleId="SubHeading1">
    <w:name w:val="SubHeading1"/>
    <w:basedOn w:val="HeadingBase"/>
    <w:rsid w:val="009D1A76"/>
    <w:pPr>
      <w:spacing w:before="240" w:after="60"/>
    </w:pPr>
    <w:rPr>
      <w:color w:val="918585"/>
      <w:sz w:val="22"/>
    </w:rPr>
  </w:style>
  <w:style w:type="paragraph" w:customStyle="1" w:styleId="SideHeading">
    <w:name w:val="Side Heading"/>
    <w:basedOn w:val="HeadingBase"/>
    <w:rsid w:val="009D1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A76"/>
    <w:pPr>
      <w:numPr>
        <w:numId w:val="12"/>
      </w:numPr>
    </w:pPr>
  </w:style>
  <w:style w:type="paragraph" w:styleId="PlainText">
    <w:name w:val="Plain Text"/>
    <w:basedOn w:val="Normal"/>
    <w:link w:val="PlainTextChar"/>
    <w:rsid w:val="009D1A76"/>
    <w:rPr>
      <w:sz w:val="20"/>
    </w:rPr>
  </w:style>
  <w:style w:type="character" w:customStyle="1" w:styleId="PlainTextChar">
    <w:name w:val="Plain Text Char"/>
    <w:basedOn w:val="DefaultParagraphFont"/>
    <w:link w:val="PlainText"/>
    <w:rsid w:val="009D1A76"/>
    <w:rPr>
      <w:rFonts w:ascii="Courier New" w:eastAsia="Times New Roman" w:hAnsi="Courier New" w:cs="Times New Roman"/>
      <w:sz w:val="20"/>
      <w:szCs w:val="20"/>
      <w:lang w:eastAsia="en-US"/>
    </w:rPr>
  </w:style>
  <w:style w:type="character" w:customStyle="1" w:styleId="MenuOption">
    <w:name w:val="Menu Option"/>
    <w:basedOn w:val="DefaultParagraphFont"/>
    <w:rsid w:val="009D1A76"/>
    <w:rPr>
      <w:b/>
      <w:smallCaps/>
    </w:rPr>
  </w:style>
  <w:style w:type="paragraph" w:customStyle="1" w:styleId="TableListNumber">
    <w:name w:val="Table List Number"/>
    <w:basedOn w:val="ListNumber"/>
    <w:rsid w:val="009D1A76"/>
    <w:pPr>
      <w:numPr>
        <w:numId w:val="0"/>
      </w:numPr>
    </w:pPr>
  </w:style>
  <w:style w:type="paragraph" w:styleId="TOC4">
    <w:name w:val="toc 4"/>
    <w:basedOn w:val="TOCBase"/>
    <w:next w:val="Normal"/>
    <w:semiHidden/>
    <w:rsid w:val="009D1A76"/>
    <w:pPr>
      <w:tabs>
        <w:tab w:val="right" w:leader="dot" w:pos="9071"/>
      </w:tabs>
      <w:ind w:left="1701"/>
    </w:pPr>
  </w:style>
  <w:style w:type="paragraph" w:customStyle="1" w:styleId="ListAlpha">
    <w:name w:val="List Alpha"/>
    <w:basedOn w:val="List"/>
    <w:rsid w:val="009D1A76"/>
    <w:pPr>
      <w:numPr>
        <w:numId w:val="10"/>
      </w:numPr>
    </w:pPr>
  </w:style>
  <w:style w:type="paragraph" w:customStyle="1" w:styleId="ListAlpha2">
    <w:name w:val="List Alpha 2"/>
    <w:basedOn w:val="List2"/>
    <w:rsid w:val="009D1A76"/>
    <w:pPr>
      <w:numPr>
        <w:numId w:val="9"/>
      </w:numPr>
    </w:pPr>
  </w:style>
  <w:style w:type="paragraph" w:styleId="List2">
    <w:name w:val="List 2"/>
    <w:basedOn w:val="BodyText"/>
    <w:rsid w:val="009D1A76"/>
    <w:pPr>
      <w:tabs>
        <w:tab w:val="left" w:pos="680"/>
      </w:tabs>
      <w:spacing w:before="60" w:after="60"/>
      <w:ind w:left="680" w:hanging="340"/>
    </w:pPr>
  </w:style>
  <w:style w:type="paragraph" w:styleId="List3">
    <w:name w:val="List 3"/>
    <w:basedOn w:val="BodyText"/>
    <w:rsid w:val="009D1A76"/>
    <w:pPr>
      <w:tabs>
        <w:tab w:val="left" w:pos="1021"/>
      </w:tabs>
      <w:spacing w:before="60" w:after="60"/>
      <w:ind w:left="1020" w:hanging="340"/>
    </w:pPr>
  </w:style>
  <w:style w:type="paragraph" w:styleId="List4">
    <w:name w:val="List 4"/>
    <w:basedOn w:val="BodyText"/>
    <w:rsid w:val="009D1A76"/>
    <w:pPr>
      <w:tabs>
        <w:tab w:val="left" w:pos="1361"/>
      </w:tabs>
      <w:spacing w:before="60" w:after="60"/>
      <w:ind w:left="1361" w:hanging="340"/>
    </w:pPr>
  </w:style>
  <w:style w:type="paragraph" w:styleId="List5">
    <w:name w:val="List 5"/>
    <w:basedOn w:val="BodyText"/>
    <w:rsid w:val="009D1A76"/>
    <w:pPr>
      <w:tabs>
        <w:tab w:val="left" w:pos="1701"/>
      </w:tabs>
      <w:spacing w:before="60" w:after="60"/>
      <w:ind w:left="1701" w:hanging="340"/>
    </w:pPr>
  </w:style>
  <w:style w:type="paragraph" w:styleId="ListBullet4">
    <w:name w:val="List Bullet 4"/>
    <w:basedOn w:val="List4"/>
    <w:rsid w:val="009D1A76"/>
    <w:pPr>
      <w:numPr>
        <w:numId w:val="4"/>
      </w:numPr>
      <w:tabs>
        <w:tab w:val="clear" w:pos="1361"/>
      </w:tabs>
    </w:pPr>
  </w:style>
  <w:style w:type="paragraph" w:styleId="ListBullet5">
    <w:name w:val="List Bullet 5"/>
    <w:basedOn w:val="List5"/>
    <w:rsid w:val="009D1A76"/>
    <w:pPr>
      <w:numPr>
        <w:numId w:val="5"/>
      </w:numPr>
    </w:pPr>
  </w:style>
  <w:style w:type="paragraph" w:styleId="ListContinue2">
    <w:name w:val="List Continue 2"/>
    <w:basedOn w:val="List2"/>
    <w:rsid w:val="009D1A76"/>
    <w:pPr>
      <w:ind w:firstLine="0"/>
    </w:pPr>
  </w:style>
  <w:style w:type="paragraph" w:styleId="ListContinue3">
    <w:name w:val="List Continue 3"/>
    <w:basedOn w:val="List3"/>
    <w:rsid w:val="009D1A76"/>
    <w:pPr>
      <w:ind w:left="1021" w:firstLine="0"/>
    </w:pPr>
  </w:style>
  <w:style w:type="paragraph" w:styleId="ListContinue4">
    <w:name w:val="List Continue 4"/>
    <w:basedOn w:val="List4"/>
    <w:rsid w:val="009D1A76"/>
    <w:pPr>
      <w:ind w:firstLine="0"/>
    </w:pPr>
  </w:style>
  <w:style w:type="paragraph" w:styleId="ListContinue5">
    <w:name w:val="List Continue 5"/>
    <w:basedOn w:val="List5"/>
    <w:rsid w:val="009D1A76"/>
    <w:pPr>
      <w:ind w:firstLine="0"/>
    </w:pPr>
  </w:style>
  <w:style w:type="paragraph" w:styleId="ListNumber3">
    <w:name w:val="List Number 3"/>
    <w:basedOn w:val="List3"/>
    <w:rsid w:val="009D1A76"/>
    <w:pPr>
      <w:numPr>
        <w:numId w:val="6"/>
      </w:numPr>
    </w:pPr>
  </w:style>
  <w:style w:type="paragraph" w:styleId="ListNumber4">
    <w:name w:val="List Number 4"/>
    <w:basedOn w:val="List4"/>
    <w:rsid w:val="009D1A76"/>
    <w:pPr>
      <w:numPr>
        <w:numId w:val="7"/>
      </w:numPr>
    </w:pPr>
  </w:style>
  <w:style w:type="paragraph" w:styleId="ListNumber5">
    <w:name w:val="List Number 5"/>
    <w:basedOn w:val="List5"/>
    <w:rsid w:val="009D1A76"/>
    <w:pPr>
      <w:numPr>
        <w:numId w:val="8"/>
      </w:numPr>
    </w:pPr>
  </w:style>
  <w:style w:type="paragraph" w:styleId="BlockText">
    <w:name w:val="Block Text"/>
    <w:basedOn w:val="Normal"/>
    <w:rsid w:val="009D1A76"/>
    <w:pPr>
      <w:spacing w:after="120"/>
      <w:ind w:left="1440" w:right="1440"/>
    </w:pPr>
  </w:style>
  <w:style w:type="character" w:customStyle="1" w:styleId="Subscript">
    <w:name w:val="Subscript"/>
    <w:basedOn w:val="DefaultParagraphFont"/>
    <w:rsid w:val="009D1A76"/>
    <w:rPr>
      <w:sz w:val="16"/>
      <w:vertAlign w:val="subscript"/>
    </w:rPr>
  </w:style>
  <w:style w:type="character" w:customStyle="1" w:styleId="Superscript">
    <w:name w:val="Superscript"/>
    <w:basedOn w:val="DefaultParagraphFont"/>
    <w:rsid w:val="009D1A76"/>
    <w:rPr>
      <w:sz w:val="16"/>
      <w:vertAlign w:val="superscript"/>
    </w:rPr>
  </w:style>
  <w:style w:type="character" w:customStyle="1" w:styleId="Symbols">
    <w:name w:val="Symbols"/>
    <w:basedOn w:val="DefaultParagraphFont"/>
    <w:rsid w:val="009D1A76"/>
    <w:rPr>
      <w:rFonts w:ascii="Symbol" w:hAnsi="Symbol"/>
    </w:rPr>
  </w:style>
  <w:style w:type="character" w:customStyle="1" w:styleId="MenuOptions">
    <w:name w:val="Menu Options"/>
    <w:basedOn w:val="DefaultParagraphFont"/>
    <w:rsid w:val="009D1A76"/>
    <w:rPr>
      <w:rFonts w:ascii="Arial Narrow" w:hAnsi="Arial Narrow"/>
      <w:smallCaps/>
    </w:rPr>
  </w:style>
  <w:style w:type="character" w:customStyle="1" w:styleId="Buttons">
    <w:name w:val="Buttons"/>
    <w:basedOn w:val="DefaultParagraphFont"/>
    <w:rsid w:val="009D1A76"/>
    <w:rPr>
      <w:b/>
    </w:rPr>
  </w:style>
  <w:style w:type="character" w:customStyle="1" w:styleId="Underlined">
    <w:name w:val="Underlined"/>
    <w:basedOn w:val="DefaultParagraphFont"/>
    <w:rsid w:val="009D1A76"/>
    <w:rPr>
      <w:u w:val="single"/>
    </w:rPr>
  </w:style>
  <w:style w:type="paragraph" w:customStyle="1" w:styleId="TableBodyTextRight">
    <w:name w:val="Table Body Text Right"/>
    <w:basedOn w:val="TableBodyText"/>
    <w:rsid w:val="009D1A76"/>
    <w:pPr>
      <w:widowControl w:val="0"/>
      <w:autoSpaceDE w:val="0"/>
      <w:autoSpaceDN w:val="0"/>
      <w:adjustRightInd w:val="0"/>
      <w:jc w:val="right"/>
    </w:pPr>
    <w:rPr>
      <w:rFonts w:cs="Arial"/>
      <w:szCs w:val="18"/>
    </w:rPr>
  </w:style>
  <w:style w:type="paragraph" w:customStyle="1" w:styleId="CopyrightText">
    <w:name w:val="Copyright Text"/>
    <w:basedOn w:val="BodyText"/>
    <w:rsid w:val="009D1A76"/>
    <w:rPr>
      <w:sz w:val="18"/>
    </w:rPr>
  </w:style>
  <w:style w:type="paragraph" w:customStyle="1" w:styleId="BodySmallRight">
    <w:name w:val="Body Small Right"/>
    <w:basedOn w:val="BodyTextRight"/>
    <w:rsid w:val="009D1A76"/>
    <w:rPr>
      <w:sz w:val="18"/>
      <w:szCs w:val="18"/>
    </w:rPr>
  </w:style>
  <w:style w:type="paragraph" w:customStyle="1" w:styleId="MarginEdition">
    <w:name w:val="Margin Edition"/>
    <w:basedOn w:val="MarginNote"/>
    <w:rsid w:val="009D1A76"/>
    <w:pPr>
      <w:spacing w:before="0" w:after="0"/>
    </w:pPr>
    <w:rPr>
      <w:rFonts w:ascii="Times New Roman" w:hAnsi="Times New Roman"/>
      <w:color w:val="999999"/>
    </w:rPr>
  </w:style>
  <w:style w:type="paragraph" w:customStyle="1" w:styleId="Spacer">
    <w:name w:val="Spacer"/>
    <w:basedOn w:val="Normal"/>
    <w:rsid w:val="009D1A76"/>
    <w:rPr>
      <w:sz w:val="2"/>
      <w:szCs w:val="2"/>
    </w:rPr>
  </w:style>
  <w:style w:type="character" w:customStyle="1" w:styleId="Small">
    <w:name w:val="Small"/>
    <w:basedOn w:val="DefaultParagraphFont"/>
    <w:rsid w:val="009D1A76"/>
    <w:rPr>
      <w:sz w:val="16"/>
    </w:rPr>
  </w:style>
  <w:style w:type="paragraph" w:customStyle="1" w:styleId="WideTable">
    <w:name w:val="Wide Table"/>
    <w:basedOn w:val="Normal"/>
    <w:rsid w:val="009D1A76"/>
    <w:pPr>
      <w:ind w:left="-1418"/>
    </w:pPr>
    <w:rPr>
      <w:sz w:val="2"/>
      <w:szCs w:val="2"/>
    </w:rPr>
  </w:style>
  <w:style w:type="character" w:styleId="PageNumber">
    <w:name w:val="page number"/>
    <w:basedOn w:val="DefaultParagraphFont"/>
    <w:rsid w:val="009D1A76"/>
  </w:style>
  <w:style w:type="paragraph" w:styleId="Quote">
    <w:name w:val="Quote"/>
    <w:basedOn w:val="Heading1"/>
    <w:link w:val="QuoteChar"/>
    <w:qFormat/>
    <w:rsid w:val="009D1A76"/>
    <w:rPr>
      <w:b w:val="0"/>
      <w:sz w:val="72"/>
      <w:szCs w:val="72"/>
      <w:lang w:val="en-NZ"/>
    </w:rPr>
  </w:style>
  <w:style w:type="character" w:customStyle="1" w:styleId="QuoteChar">
    <w:name w:val="Quote Char"/>
    <w:basedOn w:val="DefaultParagraphFont"/>
    <w:link w:val="Quote"/>
    <w:rsid w:val="009D1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A76"/>
    <w:pPr>
      <w:pageBreakBefore/>
    </w:pPr>
  </w:style>
  <w:style w:type="paragraph" w:customStyle="1" w:styleId="Border">
    <w:name w:val="Border"/>
    <w:basedOn w:val="Normal"/>
    <w:qFormat/>
    <w:rsid w:val="009D1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A76"/>
    <w:rPr>
      <w:b/>
      <w:bCs/>
      <w:i/>
      <w:iCs/>
      <w:color w:val="auto"/>
    </w:rPr>
  </w:style>
  <w:style w:type="paragraph" w:styleId="IntenseQuote">
    <w:name w:val="Intense Quote"/>
    <w:basedOn w:val="Normal"/>
    <w:next w:val="Normal"/>
    <w:link w:val="IntenseQuoteChar"/>
    <w:uiPriority w:val="30"/>
    <w:qFormat/>
    <w:rsid w:val="009D1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A76"/>
    <w:rPr>
      <w:smallCaps/>
      <w:color w:val="auto"/>
      <w:u w:val="single"/>
    </w:rPr>
  </w:style>
  <w:style w:type="character" w:styleId="IntenseReference">
    <w:name w:val="Intense Reference"/>
    <w:basedOn w:val="DefaultParagraphFont"/>
    <w:uiPriority w:val="32"/>
    <w:qFormat/>
    <w:rsid w:val="009D1A76"/>
    <w:rPr>
      <w:b/>
      <w:bCs/>
      <w:smallCaps/>
      <w:color w:val="auto"/>
      <w:spacing w:val="5"/>
      <w:u w:val="single"/>
    </w:rPr>
  </w:style>
  <w:style w:type="paragraph" w:customStyle="1" w:styleId="2ColumnHeading">
    <w:name w:val="2Column Heading"/>
    <w:basedOn w:val="BodyText"/>
    <w:qFormat/>
    <w:rsid w:val="009D1A76"/>
    <w:pPr>
      <w:spacing w:after="60"/>
      <w:ind w:left="-2268"/>
    </w:pPr>
    <w:rPr>
      <w:b/>
    </w:rPr>
  </w:style>
  <w:style w:type="paragraph" w:customStyle="1" w:styleId="Heading1TOC">
    <w:name w:val="Heading1 TOC"/>
    <w:basedOn w:val="Normal"/>
    <w:qFormat/>
    <w:rsid w:val="009D1A76"/>
    <w:pPr>
      <w:spacing w:before="240" w:after="120"/>
    </w:pPr>
    <w:rPr>
      <w:rFonts w:ascii="Times New Roman" w:hAnsi="Times New Roman"/>
      <w:b/>
      <w:sz w:val="32"/>
    </w:rPr>
  </w:style>
  <w:style w:type="paragraph" w:customStyle="1" w:styleId="Heading2TOC">
    <w:name w:val="Heading2 TOC"/>
    <w:basedOn w:val="Normal"/>
    <w:qFormat/>
    <w:rsid w:val="009D1A76"/>
    <w:pPr>
      <w:spacing w:before="240" w:after="60"/>
    </w:pPr>
    <w:rPr>
      <w:rFonts w:ascii="Times New Roman" w:hAnsi="Times New Roman"/>
      <w:b/>
      <w:sz w:val="28"/>
    </w:rPr>
  </w:style>
  <w:style w:type="character" w:customStyle="1" w:styleId="Underline">
    <w:name w:val="Underline"/>
    <w:basedOn w:val="DefaultParagraphFont"/>
    <w:qFormat/>
    <w:rsid w:val="009D1A76"/>
    <w:rPr>
      <w:u w:val="single"/>
    </w:rPr>
  </w:style>
  <w:style w:type="character" w:customStyle="1" w:styleId="BoldandItalics">
    <w:name w:val="Bold and Italics"/>
    <w:qFormat/>
    <w:rsid w:val="009D1A76"/>
    <w:rPr>
      <w:b/>
      <w:i/>
      <w:u w:val="none"/>
    </w:rPr>
  </w:style>
  <w:style w:type="paragraph" w:styleId="BalloonText">
    <w:name w:val="Balloon Text"/>
    <w:basedOn w:val="Normal"/>
    <w:link w:val="BalloonTextChar"/>
    <w:rsid w:val="009D1A76"/>
    <w:rPr>
      <w:rFonts w:ascii="Tahoma" w:hAnsi="Tahoma" w:cs="Tahoma"/>
      <w:sz w:val="16"/>
      <w:szCs w:val="16"/>
    </w:rPr>
  </w:style>
  <w:style w:type="character" w:customStyle="1" w:styleId="BalloonTextChar">
    <w:name w:val="Balloon Text Char"/>
    <w:basedOn w:val="DefaultParagraphFont"/>
    <w:link w:val="BalloonText"/>
    <w:rsid w:val="009D1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A76"/>
    <w:rPr>
      <w:b/>
      <w:color w:val="660033"/>
      <w:spacing w:val="0"/>
    </w:rPr>
  </w:style>
  <w:style w:type="paragraph" w:customStyle="1" w:styleId="Nameditemlist">
    <w:name w:val="Named item list"/>
    <w:basedOn w:val="BodyText"/>
    <w:qFormat/>
    <w:rsid w:val="009D1A76"/>
    <w:pPr>
      <w:tabs>
        <w:tab w:val="left" w:pos="2835"/>
      </w:tabs>
      <w:ind w:left="2835" w:hanging="2835"/>
    </w:pPr>
  </w:style>
  <w:style w:type="paragraph" w:customStyle="1" w:styleId="BodyTextnopadding">
    <w:name w:val="Body Text no padding"/>
    <w:basedOn w:val="BodyText"/>
    <w:qFormat/>
    <w:rsid w:val="009D1A76"/>
    <w:pPr>
      <w:spacing w:before="0" w:after="0"/>
    </w:pPr>
  </w:style>
  <w:style w:type="paragraph" w:customStyle="1" w:styleId="BodyTextBold">
    <w:name w:val="Body Text Bold"/>
    <w:basedOn w:val="BodyText"/>
    <w:qFormat/>
    <w:rsid w:val="009D1A76"/>
    <w:rPr>
      <w:b/>
    </w:rPr>
  </w:style>
  <w:style w:type="character" w:styleId="Hyperlink">
    <w:name w:val="Hyperlink"/>
    <w:basedOn w:val="DefaultParagraphFont"/>
    <w:uiPriority w:val="99"/>
    <w:unhideWhenUsed/>
    <w:rsid w:val="00757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4026</Characters>
  <Application>Microsoft Office Word</Application>
  <DocSecurity>0</DocSecurity>
  <Lines>108</Lines>
  <Paragraphs>87</Paragraphs>
  <ScaleCrop>false</ScaleCrop>
  <Company>Author-it Software Corporation Ltd.</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HLTPHA002 Pack pharmaceutical products</dc:title>
  <dc:subject>Approved</dc:subject>
  <dc:creator>SkillsIQ</dc:creator>
  <cp:keywords>Release: 1</cp:keywords>
  <dc:description>Review Date: 12 April 2008</dc:description>
  <cp:lastModifiedBy>HSD_TPCMSd.prod</cp:lastModifiedBy>
  <cp:revision>3</cp:revision>
  <dcterms:created xsi:type="dcterms:W3CDTF">2022-04-08T09:11:00Z</dcterms:created>
  <dcterms:modified xsi:type="dcterms:W3CDTF">2022-04-08T09:11:00Z</dcterms:modified>
</cp:coreProperties>
</file>