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D83" w:rsidP="005F7D83">
      <w:pPr>
        <w:pStyle w:val="Title"/>
      </w:pPr>
      <w:r>
        <w:fldChar w:fldCharType="begin"/>
      </w:r>
      <w:r>
        <w:instrText xml:space="preserve"> TITLE   \* MERGEFORMAT </w:instrText>
      </w:r>
      <w:r>
        <w:fldChar w:fldCharType="separate"/>
      </w:r>
      <w:r>
        <w:t>HLTPAT007 Collect arterial blood samples</w:t>
      </w:r>
      <w:r>
        <w:fldChar w:fldCharType="end"/>
      </w:r>
    </w:p>
    <w:p w:rsidR="005F7D83" w:rsidP="005F7D83">
      <w:pPr>
        <w:pStyle w:val="Version"/>
        <w:sectPr w:rsidSect="00D11A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AB1" w:rsidP="00D11AB1">
      <w:pPr>
        <w:pStyle w:val="SuperHeading"/>
      </w:pPr>
      <w:r w:rsidRPr="00D11AB1">
        <w:t>HLTPAT007 Collect arterial blood samples</w:t>
      </w:r>
    </w:p>
    <w:p w:rsidR="00000000" w:rsidRPr="00D11AB1" w:rsidP="00D11AB1">
      <w:pPr>
        <w:pStyle w:val="Heading1"/>
      </w:pPr>
      <w:bookmarkStart w:id="1" w:name="O_657118"/>
      <w:bookmarkEnd w:id="1"/>
      <w:r w:rsidRPr="00D11AB1">
        <w:t>Modification History</w:t>
      </w:r>
    </w:p>
    <w:tbl>
      <w:tblPr>
        <w:tblW w:w="0" w:type="auto"/>
        <w:tblLayout w:type="fixed"/>
        <w:tblCellMar>
          <w:left w:w="62" w:type="dxa"/>
          <w:right w:w="62" w:type="dxa"/>
        </w:tblCellMar>
        <w:tblLook w:val="0000"/>
      </w:tblPr>
      <w:tblGrid>
        <w:gridCol w:w="2790"/>
        <w:gridCol w:w="6344"/>
      </w:tblGrid>
      <w:tr w:rsidTr="00D11AB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B1" w:rsidP="00D11AB1">
            <w:pPr>
              <w:pStyle w:val="BodyText"/>
            </w:pPr>
            <w:r w:rsidRPr="00D11AB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B1">
            <w:pPr>
              <w:pStyle w:val="BodyText"/>
              <w:rPr>
                <w:lang w:val="en-NZ"/>
              </w:rPr>
            </w:pPr>
            <w:r w:rsidRPr="00D11AB1">
              <w:rPr>
                <w:rStyle w:val="SpecialBold"/>
              </w:rPr>
              <w:t>Comments</w:t>
            </w:r>
          </w:p>
        </w:tc>
      </w:tr>
      <w:tr w:rsidTr="00D11AB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B1">
            <w:pPr>
              <w:pStyle w:val="BodyText"/>
              <w:rPr>
                <w:lang w:val="en-NZ"/>
              </w:rPr>
            </w:pPr>
            <w:r w:rsidRPr="00D11AB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B1" w:rsidP="00D11AB1">
            <w:pPr>
              <w:pStyle w:val="BodyText"/>
            </w:pPr>
            <w:r w:rsidRPr="00D11AB1">
              <w:t xml:space="preserve">This version was released in </w:t>
            </w:r>
            <w:r w:rsidRPr="00D11AB1">
              <w:rPr>
                <w:rStyle w:val="Emphasis"/>
              </w:rPr>
              <w:t>HLT Health Training Package release 2.0</w:t>
            </w:r>
            <w:r w:rsidRPr="00D11AB1">
              <w:t xml:space="preserve"> and meets the requirements of the 2012 Standards for Training Packages.</w:t>
            </w:r>
          </w:p>
          <w:p w:rsidR="00000000" w:rsidRPr="00D11AB1" w:rsidP="00D11AB1">
            <w:pPr>
              <w:pStyle w:val="BodyText"/>
            </w:pPr>
            <w:r w:rsidRPr="00D11AB1">
              <w:t>Significant changes to the elements and performance criteria.  New</w:t>
            </w:r>
            <w:r w:rsidRPr="00D11AB1">
              <w:t xml:space="preserve"> evidence requirements for assessment, including volume and frequency requirements. Significant change to knowledge evidence. Minimum work hours added</w:t>
            </w:r>
          </w:p>
        </w:tc>
      </w:tr>
    </w:tbl>
    <w:p w:rsidR="005F7D83" w:rsidP="00D11AB1">
      <w:pPr>
        <w:pStyle w:val="BodyText"/>
      </w:pPr>
    </w:p>
    <w:p w:rsidR="005F7D83" w:rsidP="00D11AB1">
      <w:pPr>
        <w:pStyle w:val="BodyText"/>
      </w:pPr>
    </w:p>
    <w:p w:rsidR="00000000" w:rsidRPr="00D11AB1" w:rsidP="00D11AB1">
      <w:pPr>
        <w:pStyle w:val="Heading1"/>
      </w:pPr>
      <w:bookmarkStart w:id="2" w:name="O_657119"/>
      <w:bookmarkEnd w:id="2"/>
      <w:r w:rsidRPr="00D11AB1">
        <w:t>Application</w:t>
      </w:r>
    </w:p>
    <w:p w:rsidR="00000000" w:rsidRPr="00D11AB1" w:rsidP="005F7D83">
      <w:pPr>
        <w:pStyle w:val="BodyText"/>
      </w:pPr>
      <w:r w:rsidRPr="00D11AB1">
        <w:t>This unit describes the skills and knowledge required to confirm collect</w:t>
      </w:r>
      <w:r w:rsidRPr="00D11AB1">
        <w:t xml:space="preserve">ion requirements, prepare client and equipment and follow policy and procedures for collection of arterial blood samples from clients for pathology testing. </w:t>
      </w:r>
    </w:p>
    <w:p w:rsidR="00000000" w:rsidRPr="00D11AB1" w:rsidP="005F7D83">
      <w:pPr>
        <w:pStyle w:val="BodyText"/>
      </w:pPr>
      <w:r w:rsidRPr="00D11AB1">
        <w:t>This unit applies to experienced pathology collectors, medical technicians and health professiona</w:t>
      </w:r>
      <w:r w:rsidRPr="00D11AB1">
        <w:t>ls. Individuals may be working in collection centres, hospitals or other health care environments.</w:t>
      </w:r>
    </w:p>
    <w:p w:rsidR="00000000" w:rsidRPr="005F7D83" w:rsidP="005F7D83">
      <w:pPr>
        <w:pStyle w:val="BodyText"/>
        <w:rPr>
          <w:i/>
        </w:rPr>
      </w:pPr>
      <w:r w:rsidRPr="005F7D83">
        <w:rPr>
          <w:rStyle w:val="Emphasis"/>
        </w:rPr>
        <w:t>The skills in this unit must be applied in accordance with Commonwealth and State/Territory legislation, Australian/New Zealand standards and industry codes</w:t>
      </w:r>
      <w:r w:rsidRPr="005F7D83">
        <w:rPr>
          <w:rStyle w:val="Emphasis"/>
        </w:rPr>
        <w:t xml:space="preserve"> of practice.</w:t>
      </w:r>
    </w:p>
    <w:p w:rsidR="00000000" w:rsidRPr="00D11AB1" w:rsidP="00D11AB1">
      <w:pPr>
        <w:pStyle w:val="Heading1"/>
      </w:pPr>
      <w:bookmarkStart w:id="3" w:name="O_657123"/>
      <w:bookmarkEnd w:id="3"/>
      <w:r w:rsidRPr="00D11AB1">
        <w:t>Elements and Performance Criteria</w:t>
      </w:r>
    </w:p>
    <w:tbl>
      <w:tblPr>
        <w:tblW w:w="0" w:type="auto"/>
        <w:tblLayout w:type="fixed"/>
        <w:tblCellMar>
          <w:left w:w="62" w:type="dxa"/>
          <w:right w:w="62" w:type="dxa"/>
        </w:tblCellMar>
        <w:tblLook w:val="0000"/>
      </w:tblPr>
      <w:tblGrid>
        <w:gridCol w:w="3300"/>
        <w:gridCol w:w="5771"/>
      </w:tblGrid>
      <w:tr w:rsidTr="005F7D83">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D11AB1" w:rsidP="00D11AB1">
            <w:pPr>
              <w:pStyle w:val="BodyText"/>
            </w:pPr>
            <w:r w:rsidRPr="00D11AB1">
              <w:rPr>
                <w:rStyle w:val="SpecialBold"/>
              </w:rPr>
              <w:t>ELEMENT</w:t>
            </w:r>
          </w:p>
        </w:tc>
        <w:tc>
          <w:tcPr>
            <w:tcW w:w="5771" w:type="dxa"/>
            <w:tcBorders>
              <w:top w:val="nil"/>
              <w:left w:val="nil"/>
              <w:bottom w:val="nil"/>
              <w:right w:val="nil"/>
            </w:tcBorders>
            <w:tcMar>
              <w:top w:w="0" w:type="dxa"/>
              <w:left w:w="62" w:type="dxa"/>
              <w:bottom w:w="0" w:type="dxa"/>
              <w:right w:w="62" w:type="dxa"/>
            </w:tcMar>
          </w:tcPr>
          <w:p w:rsidR="00000000" w:rsidP="00D11AB1">
            <w:pPr>
              <w:pStyle w:val="BodyText"/>
              <w:rPr>
                <w:lang w:val="en-NZ"/>
              </w:rPr>
            </w:pPr>
            <w:r w:rsidRPr="00D11AB1">
              <w:rPr>
                <w:rStyle w:val="SpecialBold"/>
              </w:rPr>
              <w:t>PERFORMANCE CRITERIA</w:t>
            </w:r>
          </w:p>
        </w:tc>
      </w:tr>
      <w:tr w:rsidTr="005F7D83">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D11AB1" w:rsidP="00D11AB1">
            <w:pPr>
              <w:pStyle w:val="BodyText"/>
            </w:pPr>
            <w:r w:rsidRPr="00D11AB1">
              <w:rPr>
                <w:rStyle w:val="Emphasis"/>
              </w:rPr>
              <w:t>Elements define the essential outcomes</w:t>
            </w:r>
          </w:p>
        </w:tc>
        <w:tc>
          <w:tcPr>
            <w:tcW w:w="5771" w:type="dxa"/>
            <w:tcBorders>
              <w:top w:val="nil"/>
              <w:left w:val="nil"/>
              <w:bottom w:val="nil"/>
              <w:right w:val="nil"/>
            </w:tcBorders>
            <w:tcMar>
              <w:top w:w="0" w:type="dxa"/>
              <w:left w:w="62" w:type="dxa"/>
              <w:bottom w:w="0" w:type="dxa"/>
              <w:right w:w="62" w:type="dxa"/>
            </w:tcMar>
          </w:tcPr>
          <w:p w:rsidR="00000000" w:rsidP="00D11AB1">
            <w:pPr>
              <w:pStyle w:val="BodyText"/>
              <w:rPr>
                <w:lang w:val="en-NZ"/>
              </w:rPr>
            </w:pPr>
            <w:r w:rsidRPr="00D11AB1">
              <w:rPr>
                <w:rStyle w:val="Emphasis"/>
              </w:rPr>
              <w:t>Performance criteria describe the performance needed to demonstrate achievement of the element.</w:t>
            </w:r>
          </w:p>
        </w:tc>
      </w:tr>
      <w:tr w:rsidTr="005F7D83">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D11AB1">
            <w:pPr>
              <w:pStyle w:val="BodyText"/>
              <w:rPr>
                <w:lang w:val="en-NZ"/>
              </w:rPr>
            </w:pPr>
            <w:r w:rsidRPr="00D11AB1">
              <w:t>1. Confirm collection requirements</w:t>
            </w:r>
          </w:p>
        </w:tc>
        <w:tc>
          <w:tcPr>
            <w:tcW w:w="5771" w:type="dxa"/>
            <w:tcBorders>
              <w:top w:val="nil"/>
              <w:left w:val="nil"/>
              <w:bottom w:val="nil"/>
              <w:right w:val="nil"/>
            </w:tcBorders>
            <w:tcMar>
              <w:top w:w="0" w:type="dxa"/>
              <w:left w:w="62" w:type="dxa"/>
              <w:bottom w:w="0" w:type="dxa"/>
              <w:right w:w="62" w:type="dxa"/>
            </w:tcMar>
          </w:tcPr>
          <w:p w:rsidR="00000000" w:rsidRPr="00D11AB1" w:rsidP="00D11AB1">
            <w:pPr>
              <w:pStyle w:val="BodyText"/>
            </w:pPr>
            <w:r w:rsidRPr="00D11AB1">
              <w:t>1.1 Greet client courteously and identify self</w:t>
            </w:r>
          </w:p>
          <w:p w:rsidR="00000000" w:rsidRPr="00D11AB1" w:rsidP="00D11AB1">
            <w:pPr>
              <w:pStyle w:val="BodyText"/>
            </w:pPr>
            <w:r w:rsidRPr="00D11AB1">
              <w:t>1.2 Identify client following organisation and regulatory procedures</w:t>
            </w:r>
          </w:p>
          <w:p w:rsidR="00000000" w:rsidRPr="00D11AB1" w:rsidP="00D11AB1">
            <w:pPr>
              <w:pStyle w:val="BodyText"/>
            </w:pPr>
            <w:r w:rsidRPr="00D11AB1">
              <w:t>1.3 Confirm that client meets pre-testing criteria for the arterial collection and seek assistance from m</w:t>
            </w:r>
            <w:r w:rsidRPr="00D11AB1">
              <w:t xml:space="preserve">edical staff if </w:t>
            </w:r>
            <w:r w:rsidRPr="00D11AB1">
              <w:t>required</w:t>
            </w:r>
          </w:p>
          <w:p w:rsidR="00000000" w:rsidRPr="00D11AB1" w:rsidP="00D11AB1">
            <w:pPr>
              <w:pStyle w:val="BodyText"/>
            </w:pPr>
            <w:r w:rsidRPr="00D11AB1">
              <w:t>1.4 Obtain, interpret and accurately record personal and clinical information in accordance with organisation policies and procedures</w:t>
            </w:r>
          </w:p>
          <w:p w:rsidR="00000000" w:rsidRPr="00D11AB1" w:rsidP="00D11AB1">
            <w:pPr>
              <w:pStyle w:val="BodyText"/>
            </w:pPr>
            <w:r w:rsidRPr="00D11AB1">
              <w:t>1.5 Explain collection procedure to client</w:t>
            </w:r>
          </w:p>
          <w:p w:rsidR="00000000" w:rsidP="00D11AB1">
            <w:pPr>
              <w:pStyle w:val="BodyText"/>
              <w:rPr>
                <w:lang w:val="en-NZ"/>
              </w:rPr>
            </w:pPr>
            <w:r w:rsidRPr="00D11AB1">
              <w:t>1.6 Obtain consent for collection procedure from clien</w:t>
            </w:r>
            <w:r w:rsidRPr="00D11AB1">
              <w:t>t</w:t>
            </w:r>
          </w:p>
        </w:tc>
      </w:tr>
      <w:tr w:rsidTr="005F7D83">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71" w:type="dxa"/>
            <w:tcBorders>
              <w:top w:val="nil"/>
              <w:left w:val="nil"/>
              <w:bottom w:val="nil"/>
              <w:right w:val="nil"/>
            </w:tcBorders>
            <w:tcMar>
              <w:top w:w="0" w:type="dxa"/>
              <w:left w:w="62" w:type="dxa"/>
              <w:bottom w:w="0" w:type="dxa"/>
              <w:right w:w="62" w:type="dxa"/>
            </w:tcMar>
          </w:tcPr>
          <w:p w:rsidR="00000000" w:rsidP="00D11AB1">
            <w:pPr>
              <w:pStyle w:val="BodyText"/>
              <w:rPr>
                <w:lang w:val="en-NZ"/>
              </w:rPr>
            </w:pPr>
          </w:p>
        </w:tc>
      </w:tr>
      <w:tr w:rsidTr="005F7D83">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D11AB1">
            <w:pPr>
              <w:pStyle w:val="BodyText"/>
              <w:rPr>
                <w:lang w:val="en-NZ"/>
              </w:rPr>
            </w:pPr>
            <w:r w:rsidRPr="00D11AB1">
              <w:t xml:space="preserve">2. Prepare for arterial collection </w:t>
            </w:r>
          </w:p>
        </w:tc>
        <w:tc>
          <w:tcPr>
            <w:tcW w:w="5771" w:type="dxa"/>
            <w:tcBorders>
              <w:top w:val="nil"/>
              <w:left w:val="nil"/>
              <w:bottom w:val="nil"/>
              <w:right w:val="nil"/>
            </w:tcBorders>
            <w:tcMar>
              <w:top w:w="0" w:type="dxa"/>
              <w:left w:w="62" w:type="dxa"/>
              <w:bottom w:w="0" w:type="dxa"/>
              <w:right w:w="62" w:type="dxa"/>
            </w:tcMar>
          </w:tcPr>
          <w:p w:rsidR="00000000" w:rsidRPr="00D11AB1" w:rsidP="00D11AB1">
            <w:pPr>
              <w:pStyle w:val="BodyText"/>
            </w:pPr>
            <w:r w:rsidRPr="00D11AB1">
              <w:t>2.1 Select and prepare equipment, transport containers and disposables suited to arterial collection</w:t>
            </w:r>
          </w:p>
          <w:p w:rsidR="00000000" w:rsidRPr="00D11AB1" w:rsidP="00D11AB1">
            <w:pPr>
              <w:pStyle w:val="BodyText"/>
            </w:pPr>
            <w:r w:rsidRPr="00D11AB1">
              <w:t>2.2 Position client to ensure comfort and safety of both client and collector</w:t>
            </w:r>
          </w:p>
          <w:p w:rsidR="00000000" w:rsidRPr="00D11AB1" w:rsidP="00D11AB1">
            <w:pPr>
              <w:pStyle w:val="BodyText"/>
            </w:pPr>
            <w:r w:rsidRPr="00D11AB1">
              <w:t>2.3 Confirm blood volume required according to laboratory requirements</w:t>
            </w:r>
          </w:p>
          <w:p w:rsidR="00000000" w:rsidRPr="00D11AB1" w:rsidP="00D11AB1">
            <w:pPr>
              <w:pStyle w:val="BodyText"/>
            </w:pPr>
            <w:r w:rsidRPr="00D11AB1">
              <w:t xml:space="preserve">2.4 Locate radial and ulnar arteries and check the integrity of arterial circulation of the hand using the Allen’s test </w:t>
            </w:r>
          </w:p>
          <w:p w:rsidR="00000000" w:rsidP="00D11AB1">
            <w:pPr>
              <w:pStyle w:val="BodyText"/>
              <w:rPr>
                <w:lang w:val="en-NZ"/>
              </w:rPr>
            </w:pPr>
            <w:r w:rsidRPr="00D11AB1">
              <w:t>2.5 Proceed with test when all criteria are met</w:t>
            </w:r>
          </w:p>
        </w:tc>
      </w:tr>
      <w:tr w:rsidTr="005F7D83">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71" w:type="dxa"/>
            <w:tcBorders>
              <w:top w:val="nil"/>
              <w:left w:val="nil"/>
              <w:bottom w:val="nil"/>
              <w:right w:val="nil"/>
            </w:tcBorders>
            <w:tcMar>
              <w:top w:w="0" w:type="dxa"/>
              <w:left w:w="62" w:type="dxa"/>
              <w:bottom w:w="0" w:type="dxa"/>
              <w:right w:w="62" w:type="dxa"/>
            </w:tcMar>
          </w:tcPr>
          <w:p w:rsidR="00000000" w:rsidP="00D11AB1">
            <w:pPr>
              <w:pStyle w:val="BodyText"/>
              <w:rPr>
                <w:lang w:val="en-NZ"/>
              </w:rPr>
            </w:pPr>
          </w:p>
        </w:tc>
      </w:tr>
      <w:tr w:rsidTr="005F7D83">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D11AB1">
            <w:pPr>
              <w:pStyle w:val="BodyText"/>
              <w:rPr>
                <w:lang w:val="en-NZ"/>
              </w:rPr>
            </w:pPr>
            <w:r w:rsidRPr="00D11AB1">
              <w:t>3. Draw arte</w:t>
            </w:r>
            <w:r w:rsidRPr="00D11AB1">
              <w:t xml:space="preserve">rial blood </w:t>
            </w:r>
          </w:p>
        </w:tc>
        <w:tc>
          <w:tcPr>
            <w:tcW w:w="5771" w:type="dxa"/>
            <w:tcBorders>
              <w:top w:val="nil"/>
              <w:left w:val="nil"/>
              <w:bottom w:val="nil"/>
              <w:right w:val="nil"/>
            </w:tcBorders>
            <w:tcMar>
              <w:top w:w="0" w:type="dxa"/>
              <w:left w:w="62" w:type="dxa"/>
              <w:bottom w:w="0" w:type="dxa"/>
              <w:right w:w="62" w:type="dxa"/>
            </w:tcMar>
          </w:tcPr>
          <w:p w:rsidR="00000000" w:rsidRPr="00D11AB1" w:rsidP="00D11AB1">
            <w:pPr>
              <w:pStyle w:val="BodyText"/>
            </w:pPr>
            <w:r w:rsidRPr="00D11AB1">
              <w:t>3.1 Adopt standard and additional infection control guidelines and precautions according to organisation documented procedure</w:t>
            </w:r>
          </w:p>
          <w:p w:rsidR="00000000" w:rsidRPr="00D11AB1" w:rsidP="00D11AB1">
            <w:pPr>
              <w:pStyle w:val="BodyText"/>
            </w:pPr>
            <w:r w:rsidRPr="00D11AB1">
              <w:t>3.2 Prepare skin at collection site according to organisation policies and procedures</w:t>
            </w:r>
          </w:p>
          <w:p w:rsidR="00000000" w:rsidRPr="00D11AB1" w:rsidP="00D11AB1">
            <w:pPr>
              <w:pStyle w:val="BodyText"/>
            </w:pPr>
            <w:r w:rsidRPr="00D11AB1">
              <w:t>3.3 Locate radial artery, insert</w:t>
            </w:r>
            <w:r w:rsidRPr="00D11AB1">
              <w:t xml:space="preserve"> needle at correct angle 90 degrees, and collect sufficient sample volume for requested test</w:t>
            </w:r>
          </w:p>
          <w:p w:rsidR="00000000" w:rsidRPr="00D11AB1" w:rsidP="00D11AB1">
            <w:pPr>
              <w:pStyle w:val="BodyText"/>
            </w:pPr>
            <w:r w:rsidRPr="00D11AB1">
              <w:t>3.4 Following sample collection, apply sustained pressure to site immediately following collection according to organisation policies and procedures</w:t>
            </w:r>
          </w:p>
          <w:p w:rsidR="00000000" w:rsidRPr="00D11AB1" w:rsidP="00D11AB1">
            <w:pPr>
              <w:pStyle w:val="BodyText"/>
            </w:pPr>
            <w:r w:rsidRPr="00D11AB1">
              <w:t>3.5 Dispose of</w:t>
            </w:r>
            <w:r w:rsidRPr="00D11AB1">
              <w:t xml:space="preserve"> needle safely using the approved sharps disposal device in accordance with organisational policy</w:t>
            </w:r>
          </w:p>
          <w:p w:rsidR="00000000" w:rsidRPr="00D11AB1" w:rsidP="00D11AB1">
            <w:pPr>
              <w:pStyle w:val="BodyText"/>
            </w:pPr>
            <w:r w:rsidRPr="00D11AB1">
              <w:t>3.6 Fit stopper to syringe immediately after removal of needle</w:t>
            </w:r>
          </w:p>
          <w:p w:rsidR="00000000" w:rsidRPr="00D11AB1" w:rsidP="00D11AB1">
            <w:pPr>
              <w:pStyle w:val="BodyText"/>
            </w:pPr>
            <w:r w:rsidRPr="00D11AB1">
              <w:t>3.7 Mix sample thoroughly, label and prepare for transport in accordance with organisation poli</w:t>
            </w:r>
            <w:r w:rsidRPr="00D11AB1">
              <w:t>cies and procedures</w:t>
            </w:r>
          </w:p>
          <w:p w:rsidR="00000000" w:rsidRPr="00D11AB1" w:rsidP="00D11AB1">
            <w:pPr>
              <w:pStyle w:val="BodyText"/>
            </w:pPr>
            <w:r w:rsidRPr="00D11AB1">
              <w:t>3.8 Ensure documentation is accurately and fully completed and confirm information accuracy with client</w:t>
            </w:r>
          </w:p>
          <w:p w:rsidR="00000000" w:rsidP="00D11AB1">
            <w:pPr>
              <w:pStyle w:val="BodyText"/>
              <w:rPr>
                <w:lang w:val="en-NZ"/>
              </w:rPr>
            </w:pPr>
            <w:r w:rsidRPr="00D11AB1">
              <w:t>3.9 After appropriate length of time check puncture site to ensure bleeding has stopped and cover site with appropriate dressing</w:t>
            </w:r>
          </w:p>
        </w:tc>
      </w:tr>
      <w:tr w:rsidTr="005F7D83">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71" w:type="dxa"/>
            <w:tcBorders>
              <w:top w:val="nil"/>
              <w:left w:val="nil"/>
              <w:bottom w:val="nil"/>
              <w:right w:val="nil"/>
            </w:tcBorders>
            <w:tcMar>
              <w:top w:w="0" w:type="dxa"/>
              <w:left w:w="62" w:type="dxa"/>
              <w:bottom w:w="0" w:type="dxa"/>
              <w:right w:w="62" w:type="dxa"/>
            </w:tcMar>
          </w:tcPr>
          <w:p w:rsidR="00000000" w:rsidP="00D11AB1">
            <w:pPr>
              <w:pStyle w:val="BodyText"/>
              <w:rPr>
                <w:lang w:val="en-NZ"/>
              </w:rPr>
            </w:pPr>
          </w:p>
        </w:tc>
      </w:tr>
      <w:tr w:rsidTr="005F7D83">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D11AB1">
            <w:pPr>
              <w:pStyle w:val="BodyText"/>
              <w:rPr>
                <w:lang w:val="en-NZ"/>
              </w:rPr>
            </w:pPr>
            <w:r w:rsidRPr="00D11AB1">
              <w:t>4. Perform post collection procedures</w:t>
            </w:r>
          </w:p>
        </w:tc>
        <w:tc>
          <w:tcPr>
            <w:tcW w:w="5771" w:type="dxa"/>
            <w:tcBorders>
              <w:top w:val="nil"/>
              <w:left w:val="nil"/>
              <w:bottom w:val="nil"/>
              <w:right w:val="nil"/>
            </w:tcBorders>
            <w:tcMar>
              <w:top w:w="0" w:type="dxa"/>
              <w:left w:w="62" w:type="dxa"/>
              <w:bottom w:w="0" w:type="dxa"/>
              <w:right w:w="62" w:type="dxa"/>
            </w:tcMar>
          </w:tcPr>
          <w:p w:rsidR="00000000" w:rsidRPr="00D11AB1" w:rsidP="00D11AB1">
            <w:pPr>
              <w:pStyle w:val="BodyText"/>
            </w:pPr>
            <w:r w:rsidRPr="00D11AB1">
              <w:t>4.1 Dispose of waste in accordance with infection control protocols and organisation policies and procedures</w:t>
            </w:r>
            <w:r w:rsidRPr="00D11AB1">
              <w:rPr>
                <w:rStyle w:val="Emphasis"/>
              </w:rPr>
              <w:t xml:space="preserve"> </w:t>
            </w:r>
          </w:p>
          <w:p w:rsidR="00000000" w:rsidRPr="00D11AB1" w:rsidP="00D11AB1">
            <w:pPr>
              <w:pStyle w:val="BodyText"/>
            </w:pPr>
            <w:r w:rsidRPr="00D11AB1">
              <w:t>4.2 Confirm client comfort and provide accurate post collection information and instructions</w:t>
            </w:r>
          </w:p>
          <w:p w:rsidR="00000000" w:rsidRPr="00D11AB1" w:rsidP="00D11AB1">
            <w:pPr>
              <w:pStyle w:val="BodyText"/>
            </w:pPr>
            <w:r w:rsidRPr="00D11AB1">
              <w:t>4.3 Notify app</w:t>
            </w:r>
            <w:r w:rsidRPr="00D11AB1">
              <w:t>ropriate staff so that the client’s condition can be monitored</w:t>
            </w:r>
          </w:p>
          <w:p w:rsidR="00000000" w:rsidRPr="00D11AB1" w:rsidP="00D11AB1">
            <w:pPr>
              <w:pStyle w:val="BodyText"/>
            </w:pPr>
            <w:r w:rsidRPr="00D11AB1">
              <w:t>4.4 Organise prompt transport of sample to testing location according to organisation requirements</w:t>
            </w:r>
          </w:p>
        </w:tc>
      </w:tr>
    </w:tbl>
    <w:p w:rsidR="005F7D83" w:rsidP="00D11AB1">
      <w:pPr>
        <w:pStyle w:val="ListContinue"/>
      </w:pPr>
    </w:p>
    <w:p w:rsidR="005F7D83" w:rsidP="00D11AB1">
      <w:pPr>
        <w:pStyle w:val="ListContinue"/>
      </w:pPr>
    </w:p>
    <w:p w:rsidR="00000000" w:rsidRPr="00D11AB1" w:rsidP="00D11AB1">
      <w:pPr>
        <w:pStyle w:val="Heading1"/>
      </w:pPr>
      <w:bookmarkStart w:id="4" w:name="O_657124"/>
      <w:bookmarkEnd w:id="4"/>
      <w:r w:rsidRPr="00D11AB1">
        <w:t>Foundation Skills</w:t>
      </w:r>
    </w:p>
    <w:tbl>
      <w:tblPr>
        <w:tblW w:w="0" w:type="auto"/>
        <w:tblLayout w:type="fixed"/>
        <w:tblCellMar>
          <w:left w:w="62" w:type="dxa"/>
          <w:right w:w="62" w:type="dxa"/>
        </w:tblCellMar>
        <w:tblLook w:val="0000"/>
      </w:tblPr>
      <w:tblGrid>
        <w:gridCol w:w="8964"/>
      </w:tblGrid>
      <w:tr w:rsidTr="00D11AB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11AB1">
            <w:pPr>
              <w:pStyle w:val="BodyText"/>
              <w:rPr>
                <w:lang w:val="en-NZ"/>
              </w:rPr>
            </w:pPr>
            <w:r w:rsidRPr="00D11AB1">
              <w:rPr>
                <w:rStyle w:val="Emphasis"/>
              </w:rPr>
              <w:t>The Foundation Skills describe those required skills (l</w:t>
            </w:r>
            <w:r w:rsidRPr="00D11AB1">
              <w:rPr>
                <w:rStyle w:val="Emphasis"/>
              </w:rPr>
              <w:t xml:space="preserve">anguage, literacy, numeracy and employment </w:t>
            </w:r>
            <w:r w:rsidRPr="00D11AB1">
              <w:t xml:space="preserve">skills) that are essential </w:t>
            </w:r>
            <w:r w:rsidRPr="00D11AB1">
              <w:rPr>
                <w:rStyle w:val="Emphasis"/>
              </w:rPr>
              <w:t>to performance.</w:t>
            </w:r>
          </w:p>
        </w:tc>
      </w:tr>
      <w:tr w:rsidTr="00D11AB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11AB1" w:rsidP="00D11AB1">
            <w:pPr>
              <w:pStyle w:val="BodyText"/>
            </w:pPr>
          </w:p>
          <w:p w:rsidR="00000000" w:rsidRPr="00D11AB1" w:rsidP="00D11AB1">
            <w:pPr>
              <w:pStyle w:val="BodyText"/>
            </w:pPr>
            <w:r w:rsidRPr="00D11AB1">
              <w:t>Foundation skills essential to performance are explicit in the performance criteria of this unit of competency.</w:t>
            </w:r>
          </w:p>
        </w:tc>
      </w:tr>
    </w:tbl>
    <w:p w:rsidR="005F7D83" w:rsidP="00D11AB1">
      <w:pPr>
        <w:pStyle w:val="BodyText"/>
      </w:pPr>
    </w:p>
    <w:p w:rsidR="005F7D83" w:rsidP="00D11AB1">
      <w:pPr>
        <w:pStyle w:val="BodyText"/>
      </w:pPr>
    </w:p>
    <w:p w:rsidR="00000000" w:rsidRPr="00D11AB1" w:rsidP="00D11AB1">
      <w:pPr>
        <w:pStyle w:val="Heading1"/>
      </w:pPr>
      <w:bookmarkStart w:id="5" w:name="O_657126"/>
      <w:bookmarkEnd w:id="5"/>
      <w:r w:rsidRPr="00D11AB1">
        <w:t>Unit Mapping Information</w:t>
      </w:r>
    </w:p>
    <w:p w:rsidR="00000000" w:rsidRPr="00D11AB1" w:rsidP="005F7D83">
      <w:pPr>
        <w:pStyle w:val="BodyText"/>
      </w:pPr>
      <w:r w:rsidRPr="00D11AB1">
        <w:t>No equivalent unit.</w:t>
      </w:r>
    </w:p>
    <w:p w:rsidR="00000000" w:rsidRPr="00D11AB1" w:rsidP="00D11AB1">
      <w:pPr>
        <w:pStyle w:val="Heading1"/>
      </w:pPr>
      <w:bookmarkStart w:id="6" w:name="O_657133"/>
      <w:bookmarkEnd w:id="6"/>
      <w:r w:rsidRPr="00D11AB1">
        <w:t>Links</w:t>
      </w:r>
    </w:p>
    <w:p w:rsidR="00000000" w:rsidRPr="00D11AB1" w:rsidP="005F7D83">
      <w:pPr>
        <w:pStyle w:val="BodyText"/>
      </w:pPr>
      <w:r w:rsidRPr="00D11AB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7750B">
        <w:rPr>
          <w:rStyle w:val="Hyperlink"/>
        </w:rPr>
        <w:t>https://vetnet.gov.au/Pages/TrainingDocs.aspx?q=ced1390f-48d9-4ab0-bd50-b015e5485705</w:t>
      </w:r>
      <w:r>
        <w:fldChar w:fldCharType="end"/>
      </w:r>
    </w:p>
    <w:p w:rsidR="00000000" w:rsidRPr="00D11AB1" w:rsidP="005F7D83">
      <w:pPr>
        <w:pStyle w:val="BodyText"/>
        <w:sectPr w:rsidSect="00D11AB1">
          <w:headerReference w:type="default" r:id="rId10"/>
          <w:footerReference w:type="default" r:id="rId11"/>
          <w:pgSz w:w="11908" w:h="16833"/>
          <w:pgMar w:top="1702" w:right="1418" w:bottom="1702" w:left="1418" w:header="992" w:footer="992" w:gutter="0"/>
          <w:cols w:space="720"/>
          <w:noEndnote/>
          <w:docGrid w:linePitch="299"/>
        </w:sectPr>
      </w:pPr>
    </w:p>
    <w:p w:rsidR="00000000" w:rsidRPr="00D11AB1" w:rsidP="00D11AB1">
      <w:pPr>
        <w:pStyle w:val="SuperHeading"/>
      </w:pPr>
      <w:r w:rsidRPr="00D11AB1">
        <w:t>Assessment Requireme</w:t>
      </w:r>
      <w:r w:rsidRPr="00D11AB1">
        <w:t>nts for HLTPAT007 Collect arterial blood samples</w:t>
      </w:r>
    </w:p>
    <w:p w:rsidR="00000000" w:rsidRPr="00D11AB1" w:rsidP="00D11AB1">
      <w:pPr>
        <w:pStyle w:val="Heading1"/>
      </w:pPr>
      <w:bookmarkStart w:id="7" w:name="O_657128"/>
      <w:bookmarkEnd w:id="7"/>
      <w:r w:rsidRPr="00D11AB1">
        <w:t>Modification History</w:t>
      </w:r>
    </w:p>
    <w:tbl>
      <w:tblPr>
        <w:tblW w:w="0" w:type="auto"/>
        <w:tblLayout w:type="fixed"/>
        <w:tblCellMar>
          <w:left w:w="62" w:type="dxa"/>
          <w:right w:w="62" w:type="dxa"/>
        </w:tblCellMar>
        <w:tblLook w:val="0000"/>
      </w:tblPr>
      <w:tblGrid>
        <w:gridCol w:w="2790"/>
        <w:gridCol w:w="6344"/>
      </w:tblGrid>
      <w:tr w:rsidTr="00D11AB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B1" w:rsidP="00D11AB1">
            <w:pPr>
              <w:pStyle w:val="BodyText"/>
            </w:pPr>
            <w:r w:rsidRPr="00D11AB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B1">
            <w:pPr>
              <w:pStyle w:val="BodyText"/>
              <w:rPr>
                <w:lang w:val="en-NZ"/>
              </w:rPr>
            </w:pPr>
            <w:r w:rsidRPr="00D11AB1">
              <w:rPr>
                <w:rStyle w:val="SpecialBold"/>
              </w:rPr>
              <w:t>Comments</w:t>
            </w:r>
          </w:p>
        </w:tc>
      </w:tr>
      <w:tr w:rsidTr="00D11AB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B1">
            <w:pPr>
              <w:pStyle w:val="BodyText"/>
              <w:rPr>
                <w:lang w:val="en-NZ"/>
              </w:rPr>
            </w:pPr>
            <w:r w:rsidRPr="00D11AB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B1" w:rsidP="00D11AB1">
            <w:pPr>
              <w:pStyle w:val="BodyText"/>
            </w:pPr>
            <w:r w:rsidRPr="00D11AB1">
              <w:t xml:space="preserve">This version was released in </w:t>
            </w:r>
            <w:r w:rsidRPr="00D11AB1">
              <w:rPr>
                <w:rStyle w:val="Emphasis"/>
              </w:rPr>
              <w:t>HLT Health</w:t>
            </w:r>
            <w:r w:rsidRPr="00D11AB1">
              <w:t xml:space="preserve"> </w:t>
            </w:r>
            <w:r w:rsidRPr="00D11AB1">
              <w:rPr>
                <w:rStyle w:val="Emphasis"/>
              </w:rPr>
              <w:t>Training Package release 2.0</w:t>
            </w:r>
            <w:r w:rsidRPr="00D11AB1">
              <w:t xml:space="preserve"> and meets the requirements of the 2012 Standards for Training Packages.</w:t>
            </w:r>
          </w:p>
          <w:p w:rsidR="00000000" w:rsidRPr="00D11AB1" w:rsidP="00D11AB1">
            <w:pPr>
              <w:pStyle w:val="BodyText"/>
            </w:pPr>
            <w:r w:rsidRPr="00D11AB1">
              <w:t>Significant changes to the elements and performance criteria.  New evidence requirements for assessment, including volume and frequency requirements. Significant change to knowledge evidence. Minimum work hours added</w:t>
            </w:r>
          </w:p>
        </w:tc>
      </w:tr>
    </w:tbl>
    <w:p w:rsidR="005F7D83" w:rsidP="00D11AB1">
      <w:pPr>
        <w:pStyle w:val="BodyText"/>
      </w:pPr>
    </w:p>
    <w:p w:rsidR="005F7D83" w:rsidP="00D11AB1">
      <w:pPr>
        <w:pStyle w:val="BodyText"/>
      </w:pPr>
    </w:p>
    <w:p w:rsidR="00000000" w:rsidRPr="00D11AB1" w:rsidP="00D11AB1">
      <w:pPr>
        <w:pStyle w:val="Heading1"/>
      </w:pPr>
      <w:bookmarkStart w:id="8" w:name="O_657129"/>
      <w:bookmarkEnd w:id="8"/>
      <w:r w:rsidRPr="00D11AB1">
        <w:t>Performance Evidenc</w:t>
      </w:r>
      <w:r w:rsidRPr="00D11AB1">
        <w:t>e</w:t>
      </w:r>
    </w:p>
    <w:p w:rsidR="00000000" w:rsidRPr="00D11AB1" w:rsidP="005F7D83">
      <w:pPr>
        <w:pStyle w:val="BodyText"/>
      </w:pPr>
      <w:r w:rsidRPr="00D11AB1">
        <w:t>The candidate must show evidence of the ability to complete tasks outlined in elements and performance criteria of this unit, manage tasks and manage contingencies in the context of the job role. There must be evidence that the candidate has:</w:t>
      </w:r>
    </w:p>
    <w:p w:rsidR="00000000" w:rsidRPr="00D11AB1" w:rsidP="00D11AB1">
      <w:pPr>
        <w:pStyle w:val="ListBullet"/>
      </w:pPr>
      <w:r w:rsidRPr="00D11AB1">
        <w:t xml:space="preserve">performed </w:t>
      </w:r>
      <w:r w:rsidRPr="00D11AB1">
        <w:t>the activities outlined in the performance criteria of this unit during a period of at least 400 hours of work as a health professional, medical technician or pathology collector</w:t>
      </w:r>
    </w:p>
    <w:p w:rsidR="00000000" w:rsidRPr="00D11AB1" w:rsidP="00D11AB1">
      <w:pPr>
        <w:pStyle w:val="ListBullet"/>
      </w:pPr>
      <w:r w:rsidRPr="00D11AB1">
        <w:t>followed established technical, infection control and safety procedures for t</w:t>
      </w:r>
      <w:r w:rsidRPr="00D11AB1">
        <w:t xml:space="preserve">he collection of arterial blood from at least 3 different clients </w:t>
      </w:r>
    </w:p>
    <w:p w:rsidR="00000000" w:rsidRPr="00D11AB1" w:rsidP="00D11AB1">
      <w:pPr>
        <w:pStyle w:val="AllowPageBreak"/>
      </w:pPr>
    </w:p>
    <w:p w:rsidR="00000000" w:rsidRPr="00D11AB1" w:rsidP="00D11AB1">
      <w:pPr>
        <w:pStyle w:val="Heading1"/>
      </w:pPr>
      <w:bookmarkStart w:id="9" w:name="O_657130"/>
      <w:bookmarkEnd w:id="9"/>
      <w:r w:rsidRPr="00D11AB1">
        <w:t>Knowledge Evidence</w:t>
      </w:r>
    </w:p>
    <w:p w:rsidR="00000000" w:rsidRPr="00D11AB1" w:rsidP="005F7D83">
      <w:pPr>
        <w:pStyle w:val="BodyText"/>
      </w:pPr>
      <w:r w:rsidRPr="00D11AB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11AB1">
        <w:t>of:</w:t>
      </w:r>
    </w:p>
    <w:p w:rsidR="00000000" w:rsidRPr="00D11AB1" w:rsidP="00D11AB1">
      <w:pPr>
        <w:pStyle w:val="ListBullet"/>
      </w:pPr>
      <w:r w:rsidRPr="00D11AB1">
        <w:t>legal and ethical considerations (national and state/territory) for collection of arterial blood samples collection, and how these are applied in organisations:</w:t>
      </w:r>
    </w:p>
    <w:p w:rsidR="00000000" w:rsidRPr="00D11AB1" w:rsidP="00D11AB1">
      <w:pPr>
        <w:pStyle w:val="ListBullet2"/>
      </w:pPr>
      <w:r w:rsidRPr="00D11AB1">
        <w:t>duty of care</w:t>
      </w:r>
    </w:p>
    <w:p w:rsidR="00000000" w:rsidRPr="00D11AB1" w:rsidP="00D11AB1">
      <w:pPr>
        <w:pStyle w:val="ListBullet2"/>
      </w:pPr>
      <w:r w:rsidRPr="00D11AB1">
        <w:t xml:space="preserve">informed consent </w:t>
      </w:r>
    </w:p>
    <w:p w:rsidR="00000000" w:rsidRPr="00D11AB1" w:rsidP="00D11AB1">
      <w:pPr>
        <w:pStyle w:val="ListBullet2"/>
      </w:pPr>
      <w:r w:rsidRPr="00D11AB1">
        <w:t>mandatory reporting</w:t>
      </w:r>
    </w:p>
    <w:p w:rsidR="00000000" w:rsidRPr="00D11AB1" w:rsidP="00D11AB1">
      <w:pPr>
        <w:pStyle w:val="ListBullet2"/>
      </w:pPr>
      <w:r w:rsidRPr="00D11AB1">
        <w:t>privacy, confidentiality and disclosur</w:t>
      </w:r>
      <w:r w:rsidRPr="00D11AB1">
        <w:t>e</w:t>
      </w:r>
    </w:p>
    <w:p w:rsidR="00000000" w:rsidRPr="00D11AB1" w:rsidP="00D11AB1">
      <w:pPr>
        <w:pStyle w:val="ListBullet2"/>
      </w:pPr>
      <w:r w:rsidRPr="00D11AB1">
        <w:t>records management</w:t>
      </w:r>
    </w:p>
    <w:p w:rsidR="00000000" w:rsidRPr="00D11AB1" w:rsidP="00D11AB1">
      <w:pPr>
        <w:pStyle w:val="ListBullet2"/>
      </w:pPr>
      <w:r w:rsidRPr="00D11AB1">
        <w:t>work role boundaries</w:t>
      </w:r>
    </w:p>
    <w:p w:rsidR="00000000" w:rsidRPr="00D11AB1" w:rsidP="00D11AB1">
      <w:pPr>
        <w:pStyle w:val="ListBullet3"/>
      </w:pPr>
      <w:r w:rsidRPr="00D11AB1">
        <w:t xml:space="preserve">boundaries of responsibilities </w:t>
      </w:r>
    </w:p>
    <w:p w:rsidR="00000000" w:rsidRPr="00D11AB1" w:rsidP="00D11AB1">
      <w:pPr>
        <w:pStyle w:val="ListBullet3"/>
      </w:pPr>
      <w:r w:rsidRPr="00D11AB1">
        <w:t>sources of blood sample requests and the nature of interactions with other health services</w:t>
      </w:r>
    </w:p>
    <w:p w:rsidR="00000000" w:rsidRPr="00D11AB1" w:rsidP="00D11AB1">
      <w:pPr>
        <w:pStyle w:val="ListBullet2"/>
      </w:pPr>
      <w:r w:rsidRPr="00D11AB1">
        <w:t>work health and safety</w:t>
      </w:r>
    </w:p>
    <w:p w:rsidR="00000000" w:rsidRPr="00D11AB1" w:rsidP="00D11AB1">
      <w:pPr>
        <w:pStyle w:val="ListBullet"/>
      </w:pPr>
      <w:r w:rsidRPr="00D11AB1">
        <w:t>standard infection control requirements for clinical procedures:</w:t>
      </w:r>
    </w:p>
    <w:p w:rsidR="00000000" w:rsidRPr="00D11AB1" w:rsidP="00D11AB1">
      <w:pPr>
        <w:pStyle w:val="ListBullet2"/>
      </w:pPr>
      <w:r w:rsidRPr="00D11AB1">
        <w:t>hand hygiene</w:t>
      </w:r>
    </w:p>
    <w:p w:rsidR="00000000" w:rsidRPr="00D11AB1" w:rsidP="00D11AB1">
      <w:pPr>
        <w:pStyle w:val="ListBullet2"/>
      </w:pPr>
      <w:r w:rsidRPr="00D11AB1">
        <w:t>use of personal protective equipment (PPE)</w:t>
      </w:r>
    </w:p>
    <w:p w:rsidR="00000000" w:rsidRPr="00D11AB1" w:rsidP="00D11AB1">
      <w:pPr>
        <w:pStyle w:val="ListBullet2"/>
      </w:pPr>
      <w:r w:rsidRPr="00D11AB1">
        <w:t>avoiding contact with bodily fluids</w:t>
      </w:r>
    </w:p>
    <w:p w:rsidR="00000000" w:rsidRPr="00D11AB1" w:rsidP="00D11AB1">
      <w:pPr>
        <w:pStyle w:val="ListBullet2"/>
      </w:pPr>
      <w:r w:rsidRPr="00D11AB1">
        <w:t>sharps injury prevention and treatment if sustained</w:t>
      </w:r>
    </w:p>
    <w:p w:rsidR="00000000" w:rsidRPr="00D11AB1" w:rsidP="00D11AB1">
      <w:pPr>
        <w:pStyle w:val="ListBullet2"/>
      </w:pPr>
      <w:r w:rsidRPr="00D11AB1">
        <w:t>waste disposal</w:t>
      </w:r>
    </w:p>
    <w:p w:rsidR="00000000" w:rsidRPr="00D11AB1" w:rsidP="00D11AB1">
      <w:pPr>
        <w:pStyle w:val="ListBullet"/>
      </w:pPr>
      <w:r w:rsidRPr="00D11AB1">
        <w:t>industry terminology used in arterial blood collection:</w:t>
      </w:r>
    </w:p>
    <w:p w:rsidR="00000000" w:rsidRPr="00D11AB1" w:rsidP="00D11AB1">
      <w:pPr>
        <w:pStyle w:val="ListBullet2"/>
      </w:pPr>
      <w:r w:rsidRPr="00D11AB1">
        <w:t>equipment</w:t>
      </w:r>
    </w:p>
    <w:p w:rsidR="00000000" w:rsidRPr="00D11AB1" w:rsidP="00D11AB1">
      <w:pPr>
        <w:pStyle w:val="ListBullet2"/>
      </w:pPr>
      <w:r w:rsidRPr="00D11AB1">
        <w:t>procedures</w:t>
      </w:r>
    </w:p>
    <w:p w:rsidR="00000000" w:rsidRPr="00D11AB1" w:rsidP="00D11AB1">
      <w:pPr>
        <w:pStyle w:val="ListBullet2"/>
      </w:pPr>
      <w:r w:rsidRPr="00D11AB1">
        <w:t>abbreviations</w:t>
      </w:r>
    </w:p>
    <w:p w:rsidR="00000000" w:rsidRPr="00D11AB1" w:rsidP="00D11AB1">
      <w:pPr>
        <w:pStyle w:val="ListBullet2"/>
      </w:pPr>
      <w:r w:rsidRPr="00D11AB1">
        <w:t>medical terminology</w:t>
      </w:r>
    </w:p>
    <w:p w:rsidR="00000000" w:rsidRPr="00D11AB1" w:rsidP="00D11AB1">
      <w:pPr>
        <w:pStyle w:val="ListBullet"/>
      </w:pPr>
      <w:r w:rsidRPr="00D11AB1">
        <w:t>clinical risks of arterial blood collection and how to avoid or minimise</w:t>
      </w:r>
    </w:p>
    <w:p w:rsidR="00000000" w:rsidRPr="00D11AB1" w:rsidP="00D11AB1">
      <w:pPr>
        <w:pStyle w:val="ListBullet"/>
      </w:pPr>
      <w:r w:rsidRPr="00D11AB1">
        <w:t>pre-test procedures:</w:t>
      </w:r>
    </w:p>
    <w:p w:rsidR="00000000" w:rsidRPr="00D11AB1" w:rsidP="00D11AB1">
      <w:pPr>
        <w:pStyle w:val="ListBullet2"/>
      </w:pPr>
      <w:r w:rsidRPr="00D11AB1">
        <w:t>oxygen therapy</w:t>
      </w:r>
    </w:p>
    <w:p w:rsidR="00000000" w:rsidRPr="00D11AB1" w:rsidP="00D11AB1">
      <w:pPr>
        <w:pStyle w:val="ListBullet2"/>
      </w:pPr>
      <w:r w:rsidRPr="00D11AB1">
        <w:t>room air</w:t>
      </w:r>
    </w:p>
    <w:p w:rsidR="00000000" w:rsidRPr="00D11AB1" w:rsidP="00D11AB1">
      <w:pPr>
        <w:pStyle w:val="ListBullet2"/>
      </w:pPr>
      <w:r w:rsidRPr="00D11AB1">
        <w:t>medication</w:t>
      </w:r>
    </w:p>
    <w:p w:rsidR="00000000" w:rsidRPr="00D11AB1" w:rsidP="00D11AB1">
      <w:pPr>
        <w:pStyle w:val="ListBullet"/>
      </w:pPr>
      <w:r w:rsidRPr="00D11AB1">
        <w:t>appropriate collection sites for arterial blood and techniques for collection</w:t>
      </w:r>
    </w:p>
    <w:p w:rsidR="00000000" w:rsidRPr="00D11AB1" w:rsidP="00D11AB1">
      <w:pPr>
        <w:pStyle w:val="ListBullet"/>
      </w:pPr>
      <w:r w:rsidRPr="00D11AB1">
        <w:t>features, functions and use of arterial blood collection equipment</w:t>
      </w:r>
    </w:p>
    <w:p w:rsidR="00000000" w:rsidRPr="00D11AB1" w:rsidP="00D11AB1">
      <w:pPr>
        <w:pStyle w:val="ListBullet"/>
      </w:pPr>
      <w:r w:rsidRPr="00D11AB1">
        <w:t>anatomy and physiology of the circulatory system relevant to arterial blood collection, including the importance of surrounding structures and purpose of performing circulation assessment (</w:t>
      </w:r>
      <w:r w:rsidRPr="00D11AB1">
        <w:t>Allen’s test)</w:t>
      </w:r>
    </w:p>
    <w:p w:rsidR="00000000" w:rsidRPr="00D11AB1" w:rsidP="00D11AB1">
      <w:pPr>
        <w:pStyle w:val="ListBullet"/>
      </w:pPr>
      <w:r w:rsidRPr="00D11AB1">
        <w:t>management of post collection complications, including bleeding</w:t>
      </w:r>
    </w:p>
    <w:p w:rsidR="00000000" w:rsidRPr="00D11AB1" w:rsidP="00D11AB1">
      <w:pPr>
        <w:pStyle w:val="ListBullet"/>
      </w:pPr>
      <w:r w:rsidRPr="00D11AB1">
        <w:t>arterial blood sample handling, transport and storage requirements</w:t>
      </w:r>
    </w:p>
    <w:p w:rsidR="00000000" w:rsidRPr="00D11AB1" w:rsidP="00D11AB1">
      <w:pPr>
        <w:pStyle w:val="ListBullet"/>
      </w:pPr>
      <w:r w:rsidRPr="00D11AB1">
        <w:t>quality sample requirements</w:t>
      </w:r>
    </w:p>
    <w:p w:rsidR="00000000" w:rsidRPr="00D11AB1" w:rsidP="00D11AB1">
      <w:pPr>
        <w:pStyle w:val="ListBullet"/>
      </w:pPr>
      <w:r w:rsidRPr="00D11AB1">
        <w:t>basic analysis process for arterial blood samples</w:t>
      </w:r>
    </w:p>
    <w:p w:rsidR="00000000" w:rsidRPr="00D11AB1" w:rsidP="00D11AB1">
      <w:pPr>
        <w:pStyle w:val="AllowPageBreak"/>
      </w:pPr>
    </w:p>
    <w:p w:rsidR="00000000" w:rsidRPr="00D11AB1" w:rsidP="00D11AB1">
      <w:pPr>
        <w:pStyle w:val="Heading1"/>
      </w:pPr>
      <w:bookmarkStart w:id="10" w:name="O_657131"/>
      <w:bookmarkEnd w:id="10"/>
      <w:r w:rsidRPr="00D11AB1">
        <w:t>Assessment Condi</w:t>
      </w:r>
      <w:r w:rsidRPr="00D11AB1">
        <w:t>tions</w:t>
      </w:r>
    </w:p>
    <w:p w:rsidR="00000000" w:rsidRPr="00D11AB1" w:rsidP="005F7D83">
      <w:pPr>
        <w:pStyle w:val="BodyText"/>
      </w:pPr>
      <w:r w:rsidRPr="00D11AB1">
        <w:t xml:space="preserve">Skills must have been demonstrated in the workplace with the addition of simulations and scenarios where the full range of contexts and situations have not been provided in the workplace. The following conditions must be met for this unit: </w:t>
      </w:r>
    </w:p>
    <w:p w:rsidR="00000000" w:rsidRPr="00D11AB1" w:rsidP="00D11AB1">
      <w:pPr>
        <w:pStyle w:val="ListBullet"/>
      </w:pPr>
      <w:r w:rsidRPr="00D11AB1">
        <w:t>use of s</w:t>
      </w:r>
      <w:r w:rsidRPr="00D11AB1">
        <w:t xml:space="preserve">uitable facilities, equipment and resources, including: </w:t>
      </w:r>
    </w:p>
    <w:p w:rsidR="00000000" w:rsidRPr="00D11AB1" w:rsidP="00D11AB1">
      <w:pPr>
        <w:pStyle w:val="ListBullet2"/>
      </w:pPr>
      <w:r w:rsidRPr="00D11AB1">
        <w:t>arterial blood gas syringe</w:t>
      </w:r>
    </w:p>
    <w:p w:rsidR="00000000" w:rsidRPr="00D11AB1" w:rsidP="00D11AB1">
      <w:pPr>
        <w:pStyle w:val="ListBullet2"/>
      </w:pPr>
      <w:r w:rsidRPr="00D11AB1">
        <w:t>temperature controlled containers</w:t>
      </w:r>
    </w:p>
    <w:p w:rsidR="00000000" w:rsidRPr="00D11AB1" w:rsidP="00D11AB1">
      <w:pPr>
        <w:pStyle w:val="ListBullet2"/>
      </w:pPr>
      <w:r w:rsidRPr="00D11AB1">
        <w:t>needles</w:t>
      </w:r>
    </w:p>
    <w:p w:rsidR="00000000" w:rsidRPr="00D11AB1" w:rsidP="00D11AB1">
      <w:pPr>
        <w:pStyle w:val="ListBullet2"/>
      </w:pPr>
      <w:r w:rsidRPr="00D11AB1">
        <w:t>sharps containers</w:t>
      </w:r>
    </w:p>
    <w:p w:rsidR="00000000" w:rsidRPr="00D11AB1" w:rsidP="00D11AB1">
      <w:pPr>
        <w:pStyle w:val="ListBullet2"/>
      </w:pPr>
      <w:r w:rsidRPr="00D11AB1">
        <w:t>alcohol wipes</w:t>
      </w:r>
    </w:p>
    <w:p w:rsidR="00000000" w:rsidRPr="00D11AB1" w:rsidP="00D11AB1">
      <w:pPr>
        <w:pStyle w:val="ListBullet2"/>
      </w:pPr>
      <w:r w:rsidRPr="00D11AB1">
        <w:t>dressings</w:t>
      </w:r>
    </w:p>
    <w:p w:rsidR="00000000" w:rsidRPr="00D11AB1" w:rsidP="00D11AB1">
      <w:pPr>
        <w:pStyle w:val="ListBullet2"/>
      </w:pPr>
      <w:r w:rsidRPr="00D11AB1">
        <w:t>ice packs</w:t>
      </w:r>
    </w:p>
    <w:p w:rsidR="00000000" w:rsidRPr="00D11AB1" w:rsidP="00D11AB1">
      <w:pPr>
        <w:pStyle w:val="ListBullet2"/>
      </w:pPr>
      <w:r w:rsidRPr="00D11AB1">
        <w:t>documented collection procedures for the candidate to follow</w:t>
      </w:r>
    </w:p>
    <w:p w:rsidR="00000000" w:rsidRPr="00D11AB1" w:rsidP="00D11AB1">
      <w:pPr>
        <w:pStyle w:val="ListBullet"/>
      </w:pPr>
      <w:r w:rsidRPr="00D11AB1">
        <w:t xml:space="preserve">modelling of industry operating conditions, including: </w:t>
      </w:r>
    </w:p>
    <w:p w:rsidR="00000000" w:rsidRPr="00D11AB1" w:rsidP="00D11AB1">
      <w:pPr>
        <w:pStyle w:val="ListBullet2"/>
      </w:pPr>
      <w:r w:rsidRPr="00D11AB1">
        <w:t xml:space="preserve">interactions with clients from general public </w:t>
      </w:r>
    </w:p>
    <w:p w:rsidR="00000000" w:rsidRPr="00D11AB1" w:rsidP="00D11AB1">
      <w:pPr>
        <w:pStyle w:val="ListBullet2"/>
      </w:pPr>
      <w:r w:rsidRPr="00D11AB1">
        <w:t xml:space="preserve">presence of situations requiring problem solving </w:t>
      </w:r>
    </w:p>
    <w:p w:rsidR="00000000" w:rsidRPr="00D11AB1" w:rsidP="00D11AB1">
      <w:pPr>
        <w:pStyle w:val="BodyText"/>
      </w:pPr>
    </w:p>
    <w:p w:rsidR="00000000" w:rsidRPr="00D11AB1" w:rsidP="005F7D83">
      <w:pPr>
        <w:pStyle w:val="BodyText"/>
      </w:pPr>
      <w:r w:rsidRPr="00D11AB1">
        <w:t>All aspects of the performance evidence must have been demonstrated using simulation prior to being d</w:t>
      </w:r>
      <w:r w:rsidRPr="00D11AB1">
        <w:t>emonstrated in the workplace/with members of the public.</w:t>
      </w:r>
    </w:p>
    <w:p w:rsidR="00000000" w:rsidRPr="00D11AB1" w:rsidP="005F7D83">
      <w:pPr>
        <w:pStyle w:val="BodyText"/>
      </w:pPr>
      <w:r w:rsidRPr="00D11AB1">
        <w:t>Assessors must satisfy the Standards for Registered Training Organisations (RTOs) 2015/AQTF mandatory competency requirements for assessors.</w:t>
      </w:r>
    </w:p>
    <w:p w:rsidR="00000000" w:rsidRPr="00D11AB1" w:rsidP="00D11AB1">
      <w:pPr>
        <w:pStyle w:val="Heading1"/>
      </w:pPr>
      <w:bookmarkStart w:id="11" w:name="O_657134"/>
      <w:bookmarkEnd w:id="11"/>
      <w:r w:rsidRPr="00D11AB1">
        <w:t>Links</w:t>
      </w:r>
    </w:p>
    <w:p w:rsidR="00000000" w:rsidRPr="00D11AB1" w:rsidP="005F7D83">
      <w:pPr>
        <w:pStyle w:val="BodyText"/>
      </w:pPr>
      <w:r w:rsidRPr="00D11AB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7750B">
        <w:rPr>
          <w:rStyle w:val="Hyperlink"/>
        </w:rPr>
        <w:t>https://vetnet.gov.au/Pages/TrainingDocs.aspx?q=ced1390f-48d9-4ab0-bd50-b015e5485705</w:t>
      </w:r>
      <w:r>
        <w:fldChar w:fldCharType="end"/>
      </w:r>
    </w:p>
    <w:p w:rsidR="00000000" w:rsidRPr="00D11AB1" w:rsidP="00D11AB1"/>
    <w:sectPr w:rsidSect="00D11A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B1" w:rsidRPr="005F7D83" w:rsidP="005F7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83" w:rsidP="00D11A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7D83" w:rsidP="00D11A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F7D83" w:rsidP="00D11A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B1" w:rsidP="00D11AB1">
    <w:pPr>
      <w:pStyle w:val="Footer"/>
      <w:framePr w:wrap="around"/>
    </w:pPr>
    <w:r>
      <w:fldChar w:fldCharType="begin"/>
    </w:r>
    <w:r>
      <w:instrText xml:space="preserve"> DOCPROPERTY  Subject  \* MERGEFORMAT </w:instrText>
    </w:r>
    <w:r>
      <w:fldChar w:fldCharType="separate"/>
    </w:r>
    <w:r w:rsidR="005F7D83">
      <w:t>Approved</w:t>
    </w:r>
    <w:r w:rsidR="005F7D83">
      <w:fldChar w:fldCharType="end"/>
    </w:r>
    <w:r>
      <w:tab/>
      <w:t xml:space="preserve">Page </w:t>
    </w:r>
    <w:r>
      <w:fldChar w:fldCharType="begin"/>
    </w:r>
    <w:r>
      <w:instrText xml:space="preserve"> PAGE  \* Arabic  \* MERGEFORMAT </w:instrText>
    </w:r>
    <w:r>
      <w:fldChar w:fldCharType="separate"/>
    </w:r>
    <w:r w:rsidR="005F7D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7D83">
      <w:rPr>
        <w:noProof/>
      </w:rPr>
      <w:t>4</w:t>
    </w:r>
    <w:r>
      <w:rPr>
        <w:noProof/>
      </w:rPr>
      <w:fldChar w:fldCharType="end"/>
    </w:r>
  </w:p>
  <w:p w:rsidR="00D11AB1" w:rsidP="00D11AB1">
    <w:pPr>
      <w:pStyle w:val="Footer"/>
      <w:framePr w:wrap="around"/>
    </w:pPr>
    <w:r>
      <w:t xml:space="preserve">© Commonwealth of Australia, </w:t>
    </w:r>
    <w:r>
      <w:fldChar w:fldCharType="begin"/>
    </w:r>
    <w:r>
      <w:instrText xml:space="preserve"> DATE  \@ "yyyy"  \* MERGEFORMAT </w:instrText>
    </w:r>
    <w:r>
      <w:fldChar w:fldCharType="separate"/>
    </w:r>
    <w:r w:rsidR="005F7D83">
      <w:rPr>
        <w:noProof/>
      </w:rPr>
      <w:t>2025</w:t>
    </w:r>
    <w:r>
      <w:fldChar w:fldCharType="end"/>
    </w:r>
    <w:r>
      <w:tab/>
    </w:r>
    <w:r>
      <w:fldChar w:fldCharType="begin"/>
    </w:r>
    <w:r>
      <w:instrText xml:space="preserve"> DOCPROPERTY  Author  \* MERGEFORMAT </w:instrText>
    </w:r>
    <w:r>
      <w:fldChar w:fldCharType="separate"/>
    </w:r>
    <w:r w:rsidR="005F7D83">
      <w:t>HumanAbility</w:t>
    </w:r>
    <w:r w:rsidR="005F7D83">
      <w:fldChar w:fldCharType="end"/>
    </w:r>
  </w:p>
  <w:p w:rsidR="00D11AB1" w:rsidP="00D11A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AB1" w:rsidRPr="005F7D83" w:rsidP="005F7D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83" w:rsidRPr="002D2AF8" w:rsidP="00D11AB1">
    <w:pPr>
      <w:pStyle w:val="Header"/>
      <w:framePr w:wrap="around"/>
    </w:pPr>
    <w:r>
      <w:fldChar w:fldCharType="begin"/>
    </w:r>
    <w:r>
      <w:instrText xml:space="preserve"> TITLE   \* MERGEFORMAT </w:instrText>
    </w:r>
    <w:r>
      <w:fldChar w:fldCharType="separate"/>
    </w:r>
    <w:r>
      <w:t>HLTPAT007 Collect arterial blood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F7D83" w:rsidP="00D11A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B1" w:rsidRPr="002D2AF8" w:rsidP="00D11AB1">
    <w:pPr>
      <w:pStyle w:val="Header"/>
      <w:framePr w:wrap="around"/>
    </w:pPr>
    <w:r>
      <w:fldChar w:fldCharType="begin"/>
    </w:r>
    <w:r>
      <w:instrText xml:space="preserve"> TITLE   \* MERGEFORMAT </w:instrText>
    </w:r>
    <w:r>
      <w:fldChar w:fldCharType="separate"/>
    </w:r>
    <w:r w:rsidR="005F7D83">
      <w:t>HLTPAT007 Collect arterial blood samples</w:t>
    </w:r>
    <w:r w:rsidR="005F7D83">
      <w:fldChar w:fldCharType="end"/>
    </w:r>
    <w:r>
      <w:tab/>
      <w:t xml:space="preserve">Date this document was generated: </w:t>
    </w:r>
    <w:r>
      <w:fldChar w:fldCharType="begin"/>
    </w:r>
    <w:r>
      <w:instrText xml:space="preserve"> CREATEDATE  \@ "d MMMM yyyy"  \* MERGEFORMAT </w:instrText>
    </w:r>
    <w:r>
      <w:fldChar w:fldCharType="separate"/>
    </w:r>
    <w:r w:rsidR="005F7D83">
      <w:rPr>
        <w:noProof/>
      </w:rPr>
      <w:t>1 March 2025</w:t>
    </w:r>
    <w:r>
      <w:fldChar w:fldCharType="end"/>
    </w:r>
  </w:p>
  <w:p w:rsidR="00D11AB1" w:rsidP="00D11A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8E37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840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7A0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A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AB1"/>
    <w:pPr>
      <w:spacing w:before="360" w:after="60"/>
      <w:outlineLvl w:val="0"/>
    </w:pPr>
    <w:rPr>
      <w:sz w:val="32"/>
    </w:rPr>
  </w:style>
  <w:style w:type="paragraph" w:styleId="Heading2">
    <w:name w:val="heading 2"/>
    <w:basedOn w:val="HeadingBase"/>
    <w:next w:val="BodyText"/>
    <w:link w:val="Heading2Char"/>
    <w:qFormat/>
    <w:rsid w:val="00D11AB1"/>
    <w:pPr>
      <w:keepLines/>
      <w:spacing w:before="240" w:after="120"/>
      <w:outlineLvl w:val="1"/>
    </w:pPr>
    <w:rPr>
      <w:sz w:val="28"/>
      <w:szCs w:val="40"/>
    </w:rPr>
  </w:style>
  <w:style w:type="paragraph" w:styleId="Heading3">
    <w:name w:val="heading 3"/>
    <w:basedOn w:val="HeadingBase"/>
    <w:next w:val="BodyText"/>
    <w:link w:val="Heading3Char"/>
    <w:qFormat/>
    <w:rsid w:val="00D11AB1"/>
    <w:pPr>
      <w:spacing w:before="180" w:after="120"/>
      <w:outlineLvl w:val="2"/>
    </w:pPr>
    <w:rPr>
      <w:spacing w:val="-10"/>
      <w:kern w:val="32"/>
    </w:rPr>
  </w:style>
  <w:style w:type="paragraph" w:styleId="Heading4">
    <w:name w:val="heading 4"/>
    <w:basedOn w:val="HeadingBase"/>
    <w:next w:val="BodyText"/>
    <w:link w:val="Heading4Char"/>
    <w:qFormat/>
    <w:rsid w:val="00D11AB1"/>
    <w:pPr>
      <w:spacing w:before="160" w:after="120"/>
      <w:outlineLvl w:val="3"/>
    </w:pPr>
    <w:rPr>
      <w:sz w:val="22"/>
    </w:rPr>
  </w:style>
  <w:style w:type="paragraph" w:styleId="Heading5">
    <w:name w:val="heading 5"/>
    <w:basedOn w:val="HeadingBase"/>
    <w:next w:val="Normal"/>
    <w:link w:val="Heading5Char"/>
    <w:qFormat/>
    <w:rsid w:val="00D11AB1"/>
    <w:pPr>
      <w:spacing w:before="80"/>
      <w:outlineLvl w:val="4"/>
    </w:pPr>
    <w:rPr>
      <w:color w:val="918585"/>
      <w:sz w:val="20"/>
    </w:rPr>
  </w:style>
  <w:style w:type="paragraph" w:styleId="Heading6">
    <w:name w:val="heading 6"/>
    <w:basedOn w:val="HeadingBase"/>
    <w:next w:val="Normal"/>
    <w:link w:val="Heading6Char"/>
    <w:qFormat/>
    <w:rsid w:val="00D11AB1"/>
    <w:pPr>
      <w:spacing w:before="60"/>
      <w:outlineLvl w:val="5"/>
    </w:pPr>
    <w:rPr>
      <w:color w:val="918585"/>
      <w:sz w:val="20"/>
    </w:rPr>
  </w:style>
  <w:style w:type="paragraph" w:styleId="Heading7">
    <w:name w:val="heading 7"/>
    <w:basedOn w:val="Normal"/>
    <w:next w:val="Normal"/>
    <w:link w:val="Heading7Char"/>
    <w:qFormat/>
    <w:rsid w:val="00D11AB1"/>
    <w:pPr>
      <w:ind w:left="720"/>
      <w:outlineLvl w:val="6"/>
    </w:pPr>
    <w:rPr>
      <w:i/>
    </w:rPr>
  </w:style>
  <w:style w:type="paragraph" w:styleId="Heading8">
    <w:name w:val="heading 8"/>
    <w:basedOn w:val="Normal"/>
    <w:next w:val="Normal"/>
    <w:link w:val="Heading8Char"/>
    <w:qFormat/>
    <w:rsid w:val="00D11AB1"/>
    <w:pPr>
      <w:ind w:left="720"/>
      <w:outlineLvl w:val="7"/>
    </w:pPr>
    <w:rPr>
      <w:i/>
    </w:rPr>
  </w:style>
  <w:style w:type="paragraph" w:styleId="Heading9">
    <w:name w:val="heading 9"/>
    <w:basedOn w:val="Normal"/>
    <w:next w:val="Normal"/>
    <w:link w:val="Heading9Char"/>
    <w:qFormat/>
    <w:rsid w:val="00D11AB1"/>
    <w:pPr>
      <w:ind w:left="720"/>
      <w:outlineLvl w:val="8"/>
    </w:pPr>
    <w:rPr>
      <w:i/>
    </w:rPr>
  </w:style>
  <w:style w:type="character" w:default="1" w:styleId="DefaultParagraphFont">
    <w:name w:val="Default Paragraph Font"/>
    <w:uiPriority w:val="1"/>
    <w:unhideWhenUsed/>
    <w:rsid w:val="00D11A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AB1"/>
  </w:style>
  <w:style w:type="character" w:customStyle="1" w:styleId="Heading1Char">
    <w:name w:val="Heading 1 Char"/>
    <w:basedOn w:val="DefaultParagraphFont"/>
    <w:link w:val="Heading1"/>
    <w:rsid w:val="00D11AB1"/>
    <w:rPr>
      <w:rFonts w:ascii="Times New Roman" w:eastAsia="Times New Roman" w:hAnsi="Times New Roman" w:cs="Times New Roman"/>
      <w:b/>
      <w:sz w:val="32"/>
      <w:szCs w:val="20"/>
      <w:lang w:eastAsia="en-US"/>
    </w:rPr>
  </w:style>
  <w:style w:type="paragraph" w:styleId="BodyText">
    <w:name w:val="Body Text"/>
    <w:basedOn w:val="Normal"/>
    <w:link w:val="BodyTextChar"/>
    <w:rsid w:val="00D11A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AB1"/>
    <w:rPr>
      <w:rFonts w:ascii="Times New Roman" w:eastAsia="Times New Roman" w:hAnsi="Times New Roman" w:cs="Times New Roman"/>
      <w:sz w:val="24"/>
      <w:lang w:eastAsia="en-US"/>
    </w:rPr>
  </w:style>
  <w:style w:type="paragraph" w:styleId="ListBullet">
    <w:name w:val="List Bullet"/>
    <w:basedOn w:val="List"/>
    <w:rsid w:val="00D11AB1"/>
    <w:pPr>
      <w:numPr>
        <w:numId w:val="13"/>
      </w:numPr>
      <w:tabs>
        <w:tab w:val="clear" w:pos="340"/>
      </w:tabs>
      <w:spacing w:before="40" w:after="40"/>
    </w:pPr>
  </w:style>
  <w:style w:type="character" w:customStyle="1" w:styleId="SpecialBold">
    <w:name w:val="Special Bold"/>
    <w:basedOn w:val="DefaultParagraphFont"/>
    <w:rsid w:val="00D11AB1"/>
    <w:rPr>
      <w:b/>
      <w:spacing w:val="0"/>
    </w:rPr>
  </w:style>
  <w:style w:type="paragraph" w:styleId="ListBullet2">
    <w:name w:val="List Bullet 2"/>
    <w:basedOn w:val="List2"/>
    <w:rsid w:val="00D11AB1"/>
    <w:pPr>
      <w:numPr>
        <w:numId w:val="14"/>
      </w:numPr>
      <w:tabs>
        <w:tab w:val="clear" w:pos="680"/>
      </w:tabs>
    </w:pPr>
  </w:style>
  <w:style w:type="character" w:styleId="Emphasis">
    <w:name w:val="Emphasis"/>
    <w:basedOn w:val="DefaultParagraphFont"/>
    <w:qFormat/>
    <w:rsid w:val="00D11AB1"/>
    <w:rPr>
      <w:i/>
    </w:rPr>
  </w:style>
  <w:style w:type="paragraph" w:customStyle="1" w:styleId="SuperHeading">
    <w:name w:val="SuperHeading"/>
    <w:basedOn w:val="Normal"/>
    <w:rsid w:val="00D11AB1"/>
    <w:pPr>
      <w:spacing w:before="240" w:after="120"/>
      <w:outlineLvl w:val="0"/>
    </w:pPr>
    <w:rPr>
      <w:rFonts w:ascii="Times New Roman" w:hAnsi="Times New Roman"/>
      <w:b/>
      <w:sz w:val="32"/>
    </w:rPr>
  </w:style>
  <w:style w:type="paragraph" w:customStyle="1" w:styleId="AllowPageBreak">
    <w:name w:val="AllowPageBreak"/>
    <w:rsid w:val="00D11AB1"/>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D11AB1"/>
    <w:pPr>
      <w:ind w:firstLine="0"/>
    </w:pPr>
  </w:style>
  <w:style w:type="paragraph" w:styleId="ListBullet3">
    <w:name w:val="List Bullet 3"/>
    <w:basedOn w:val="List3"/>
    <w:rsid w:val="00D11AB1"/>
    <w:pPr>
      <w:numPr>
        <w:numId w:val="3"/>
      </w:numPr>
      <w:tabs>
        <w:tab w:val="clear" w:pos="1021"/>
      </w:tabs>
      <w:ind w:left="1037" w:hanging="357"/>
    </w:pPr>
  </w:style>
  <w:style w:type="character" w:customStyle="1" w:styleId="Heading2Char">
    <w:name w:val="Heading 2 Char"/>
    <w:basedOn w:val="DefaultParagraphFont"/>
    <w:link w:val="Heading2"/>
    <w:rsid w:val="00D11A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A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A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A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A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A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A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AB1"/>
    <w:rPr>
      <w:rFonts w:ascii="Courier New" w:eastAsia="Times New Roman" w:hAnsi="Courier New" w:cs="Times New Roman"/>
      <w:i/>
      <w:szCs w:val="20"/>
      <w:lang w:eastAsia="en-US"/>
    </w:rPr>
  </w:style>
  <w:style w:type="paragraph" w:customStyle="1" w:styleId="HeadingBase">
    <w:name w:val="Heading Base"/>
    <w:rsid w:val="00D11A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AB1"/>
    <w:pPr>
      <w:tabs>
        <w:tab w:val="right" w:leader="dot" w:pos="9072"/>
      </w:tabs>
      <w:ind w:left="567"/>
    </w:pPr>
    <w:rPr>
      <w:szCs w:val="22"/>
    </w:rPr>
  </w:style>
  <w:style w:type="paragraph" w:customStyle="1" w:styleId="TOCBase">
    <w:name w:val="TOC Base"/>
    <w:rsid w:val="00D11A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AB1"/>
    <w:pPr>
      <w:tabs>
        <w:tab w:val="right" w:leader="dot" w:pos="9072"/>
      </w:tabs>
      <w:spacing w:before="40" w:after="40"/>
      <w:ind w:left="284"/>
    </w:pPr>
    <w:rPr>
      <w:rFonts w:ascii="Times New Roman" w:hAnsi="Times New Roman"/>
    </w:rPr>
  </w:style>
  <w:style w:type="paragraph" w:styleId="TOC1">
    <w:name w:val="toc 1"/>
    <w:basedOn w:val="TOCBase"/>
    <w:next w:val="Normal"/>
    <w:rsid w:val="00D11A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A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AB1"/>
    <w:rPr>
      <w:rFonts w:ascii="Times New Roman" w:eastAsia="Times New Roman" w:hAnsi="Times New Roman" w:cs="Times New Roman"/>
      <w:sz w:val="16"/>
      <w:lang w:eastAsia="en-US"/>
    </w:rPr>
  </w:style>
  <w:style w:type="paragraph" w:styleId="Title">
    <w:name w:val="Title"/>
    <w:basedOn w:val="HeadingBase"/>
    <w:link w:val="TitleChar"/>
    <w:qFormat/>
    <w:rsid w:val="00D11AB1"/>
    <w:pPr>
      <w:spacing w:before="5040"/>
      <w:jc w:val="center"/>
    </w:pPr>
    <w:rPr>
      <w:sz w:val="48"/>
      <w:szCs w:val="72"/>
      <w:lang w:val="en-US"/>
    </w:rPr>
  </w:style>
  <w:style w:type="character" w:customStyle="1" w:styleId="TitleChar">
    <w:name w:val="Title Char"/>
    <w:basedOn w:val="DefaultParagraphFont"/>
    <w:link w:val="Title"/>
    <w:rsid w:val="00D11A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AB1"/>
    <w:pPr>
      <w:tabs>
        <w:tab w:val="left" w:pos="3600"/>
        <w:tab w:val="left" w:pos="3958"/>
      </w:tabs>
    </w:pPr>
  </w:style>
  <w:style w:type="paragraph" w:styleId="List">
    <w:name w:val="List"/>
    <w:basedOn w:val="BodyText"/>
    <w:next w:val="BodyText"/>
    <w:rsid w:val="00D11AB1"/>
    <w:pPr>
      <w:tabs>
        <w:tab w:val="left" w:pos="340"/>
      </w:tabs>
      <w:spacing w:before="60" w:after="60"/>
      <w:ind w:left="340" w:hanging="340"/>
    </w:pPr>
  </w:style>
  <w:style w:type="paragraph" w:customStyle="1" w:styleId="Note">
    <w:name w:val="Note"/>
    <w:basedOn w:val="BodyText"/>
    <w:rsid w:val="00D11A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AB1"/>
    <w:pPr>
      <w:framePr w:wrap="auto" w:hAnchor="text" w:y="6049"/>
    </w:pPr>
    <w:rPr>
      <w:color w:val="000000"/>
      <w:sz w:val="40"/>
    </w:rPr>
  </w:style>
  <w:style w:type="paragraph" w:customStyle="1" w:styleId="TOCTitle">
    <w:name w:val="TOCTitle"/>
    <w:basedOn w:val="Heading1"/>
    <w:rsid w:val="00D11AB1"/>
    <w:pPr>
      <w:spacing w:after="240"/>
      <w:jc w:val="center"/>
      <w:outlineLvl w:val="9"/>
    </w:pPr>
    <w:rPr>
      <w:caps/>
    </w:rPr>
  </w:style>
  <w:style w:type="paragraph" w:customStyle="1" w:styleId="Version">
    <w:name w:val="Version"/>
    <w:rsid w:val="00D11A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AB1"/>
    <w:pPr>
      <w:keepNext w:val="0"/>
      <w:tabs>
        <w:tab w:val="right" w:pos="4176"/>
      </w:tabs>
      <w:ind w:left="198" w:hanging="198"/>
    </w:pPr>
    <w:rPr>
      <w:rFonts w:ascii="Garamond" w:hAnsi="Garamond"/>
    </w:rPr>
  </w:style>
  <w:style w:type="paragraph" w:styleId="IndexHeading">
    <w:name w:val="index heading"/>
    <w:basedOn w:val="Normal"/>
    <w:next w:val="Index1"/>
    <w:semiHidden/>
    <w:rsid w:val="00D11AB1"/>
    <w:pPr>
      <w:spacing w:before="120" w:after="120"/>
    </w:pPr>
    <w:rPr>
      <w:rFonts w:ascii="Arial" w:hAnsi="Arial"/>
      <w:b/>
      <w:color w:val="918585"/>
      <w:sz w:val="24"/>
    </w:rPr>
  </w:style>
  <w:style w:type="paragraph" w:styleId="Header">
    <w:name w:val="header"/>
    <w:basedOn w:val="Normal"/>
    <w:link w:val="HeaderChar"/>
    <w:rsid w:val="00D11A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AB1"/>
    <w:rPr>
      <w:rFonts w:ascii="Times New Roman" w:eastAsia="Times New Roman" w:hAnsi="Times New Roman" w:cs="Times New Roman"/>
      <w:sz w:val="16"/>
      <w:szCs w:val="20"/>
      <w:lang w:val="en-GB" w:eastAsia="en-US"/>
    </w:rPr>
  </w:style>
  <w:style w:type="paragraph" w:customStyle="1" w:styleId="Chapter">
    <w:name w:val="Chapter"/>
    <w:basedOn w:val="Normal"/>
    <w:rsid w:val="00D11AB1"/>
    <w:pPr>
      <w:spacing w:before="240"/>
    </w:pPr>
    <w:rPr>
      <w:rFonts w:ascii="Times New Roman" w:hAnsi="Times New Roman"/>
      <w:smallCaps/>
      <w:spacing w:val="80"/>
      <w:sz w:val="28"/>
    </w:rPr>
  </w:style>
  <w:style w:type="paragraph" w:customStyle="1" w:styleId="InChapter">
    <w:name w:val="InChapter"/>
    <w:basedOn w:val="Heading3"/>
    <w:rsid w:val="00D11AB1"/>
    <w:pPr>
      <w:spacing w:after="240"/>
      <w:outlineLvl w:val="9"/>
    </w:pPr>
    <w:rPr>
      <w:noProof/>
    </w:rPr>
  </w:style>
  <w:style w:type="paragraph" w:styleId="Index2">
    <w:name w:val="index 2"/>
    <w:basedOn w:val="Normal"/>
    <w:next w:val="Normal"/>
    <w:semiHidden/>
    <w:rsid w:val="00D11AB1"/>
    <w:pPr>
      <w:tabs>
        <w:tab w:val="right" w:pos="4176"/>
      </w:tabs>
      <w:ind w:left="568" w:hanging="284"/>
    </w:pPr>
    <w:rPr>
      <w:rFonts w:ascii="Garamond" w:hAnsi="Garamond"/>
    </w:rPr>
  </w:style>
  <w:style w:type="paragraph" w:customStyle="1" w:styleId="Byline">
    <w:name w:val="Byline"/>
    <w:rsid w:val="00D11A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AB1"/>
    <w:pPr>
      <w:tabs>
        <w:tab w:val="clear" w:pos="3600"/>
        <w:tab w:val="clear" w:pos="3958"/>
      </w:tabs>
      <w:jc w:val="right"/>
    </w:pPr>
  </w:style>
  <w:style w:type="paragraph" w:styleId="Caption">
    <w:name w:val="caption"/>
    <w:basedOn w:val="BodyText"/>
    <w:next w:val="Normal"/>
    <w:qFormat/>
    <w:rsid w:val="00D11AB1"/>
    <w:pPr>
      <w:framePr w:w="2268" w:hSpace="181" w:vSpace="181" w:wrap="around" w:vAnchor="text" w:hAnchor="page" w:x="1135" w:y="285" w:anchorLock="1"/>
    </w:pPr>
    <w:rPr>
      <w:i/>
    </w:rPr>
  </w:style>
  <w:style w:type="paragraph" w:customStyle="1" w:styleId="MiniTOCTitle">
    <w:name w:val="MiniTOCTitle"/>
    <w:basedOn w:val="Heading4"/>
    <w:rsid w:val="00D11AB1"/>
    <w:pPr>
      <w:spacing w:before="240"/>
      <w:outlineLvl w:val="9"/>
    </w:pPr>
    <w:rPr>
      <w:noProof/>
      <w:sz w:val="24"/>
    </w:rPr>
  </w:style>
  <w:style w:type="paragraph" w:customStyle="1" w:styleId="MiniTOCItem">
    <w:name w:val="MiniTOCItem"/>
    <w:basedOn w:val="ListBullet"/>
    <w:rsid w:val="00D11AB1"/>
    <w:pPr>
      <w:numPr>
        <w:numId w:val="0"/>
      </w:numPr>
      <w:tabs>
        <w:tab w:val="right" w:leader="dot" w:pos="6521"/>
      </w:tabs>
      <w:spacing w:before="0" w:after="0"/>
    </w:pPr>
  </w:style>
  <w:style w:type="paragraph" w:customStyle="1" w:styleId="TOFTitle">
    <w:name w:val="TOFTitle"/>
    <w:basedOn w:val="TOCTitle"/>
    <w:rsid w:val="00D11AB1"/>
  </w:style>
  <w:style w:type="paragraph" w:styleId="TableofFigures">
    <w:name w:val="table of figures"/>
    <w:basedOn w:val="Normal"/>
    <w:next w:val="Normal"/>
    <w:semiHidden/>
    <w:rsid w:val="00D11AB1"/>
    <w:pPr>
      <w:tabs>
        <w:tab w:val="right" w:leader="dot" w:pos="9072"/>
      </w:tabs>
      <w:ind w:left="970" w:hanging="403"/>
    </w:pPr>
    <w:rPr>
      <w:rFonts w:ascii="Times New Roman" w:hAnsi="Times New Roman"/>
      <w:b/>
    </w:rPr>
  </w:style>
  <w:style w:type="paragraph" w:styleId="ListNumber">
    <w:name w:val="List Number"/>
    <w:basedOn w:val="List"/>
    <w:rsid w:val="00D11AB1"/>
    <w:pPr>
      <w:numPr>
        <w:numId w:val="16"/>
      </w:numPr>
      <w:tabs>
        <w:tab w:val="clear" w:pos="340"/>
      </w:tabs>
    </w:pPr>
  </w:style>
  <w:style w:type="character" w:customStyle="1" w:styleId="WingdingSymbols">
    <w:name w:val="Wingding Symbols"/>
    <w:rsid w:val="00D11AB1"/>
    <w:rPr>
      <w:rFonts w:ascii="Wingdings" w:hAnsi="Wingdings"/>
    </w:rPr>
  </w:style>
  <w:style w:type="paragraph" w:customStyle="1" w:styleId="TableHeading">
    <w:name w:val="Table Heading"/>
    <w:basedOn w:val="HeadingBase"/>
    <w:rsid w:val="00D11AB1"/>
    <w:pPr>
      <w:keepLines/>
      <w:pBdr>
        <w:bottom w:val="single" w:sz="6" w:space="1" w:color="918585"/>
      </w:pBdr>
      <w:spacing w:before="240"/>
    </w:pPr>
  </w:style>
  <w:style w:type="character" w:customStyle="1" w:styleId="HotSpot">
    <w:name w:val="HotSpot"/>
    <w:rsid w:val="00D11AB1"/>
    <w:rPr>
      <w:color w:val="0033CC"/>
      <w:u w:val="none"/>
    </w:rPr>
  </w:style>
  <w:style w:type="paragraph" w:customStyle="1" w:styleId="BodyTextRight">
    <w:name w:val="Body Text Right"/>
    <w:basedOn w:val="BodyText"/>
    <w:rsid w:val="00D11AB1"/>
    <w:pPr>
      <w:spacing w:before="0" w:after="0"/>
      <w:jc w:val="right"/>
    </w:pPr>
  </w:style>
  <w:style w:type="paragraph" w:styleId="Index3">
    <w:name w:val="index 3"/>
    <w:basedOn w:val="ListNumber2"/>
    <w:next w:val="Normal"/>
    <w:semiHidden/>
    <w:rsid w:val="00D11AB1"/>
    <w:pPr>
      <w:numPr>
        <w:numId w:val="0"/>
      </w:numPr>
      <w:tabs>
        <w:tab w:val="right" w:leader="dot" w:pos="4176"/>
      </w:tabs>
    </w:pPr>
  </w:style>
  <w:style w:type="paragraph" w:styleId="ListNumber2">
    <w:name w:val="List Number 2"/>
    <w:basedOn w:val="List2"/>
    <w:rsid w:val="00D11AB1"/>
    <w:pPr>
      <w:numPr>
        <w:numId w:val="11"/>
      </w:numPr>
      <w:tabs>
        <w:tab w:val="clear" w:pos="1060"/>
      </w:tabs>
    </w:pPr>
  </w:style>
  <w:style w:type="paragraph" w:customStyle="1" w:styleId="MarginNote">
    <w:name w:val="Margin Note"/>
    <w:basedOn w:val="BodyText"/>
    <w:rsid w:val="00D11A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A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A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AB1"/>
    <w:rPr>
      <w:sz w:val="32"/>
    </w:rPr>
  </w:style>
  <w:style w:type="paragraph" w:customStyle="1" w:styleId="HeadingProcedure">
    <w:name w:val="Heading Procedure"/>
    <w:basedOn w:val="HeadingBase"/>
    <w:next w:val="Normal"/>
    <w:rsid w:val="00D11AB1"/>
    <w:pPr>
      <w:tabs>
        <w:tab w:val="left" w:pos="0"/>
      </w:tabs>
      <w:spacing w:before="120" w:after="60"/>
    </w:pPr>
    <w:rPr>
      <w:i/>
      <w:color w:val="918585"/>
      <w:sz w:val="22"/>
    </w:rPr>
  </w:style>
  <w:style w:type="paragraph" w:customStyle="1" w:styleId="TableBodyText">
    <w:name w:val="Table Body Text"/>
    <w:basedOn w:val="BodyText"/>
    <w:rsid w:val="00D11AB1"/>
    <w:pPr>
      <w:spacing w:before="60" w:after="60"/>
    </w:pPr>
  </w:style>
  <w:style w:type="paragraph" w:customStyle="1" w:styleId="ListNote">
    <w:name w:val="List Note"/>
    <w:basedOn w:val="List"/>
    <w:rsid w:val="00D11AB1"/>
    <w:pPr>
      <w:pBdr>
        <w:top w:val="single" w:sz="6" w:space="2" w:color="918585"/>
        <w:bottom w:val="single" w:sz="6" w:space="2" w:color="918585"/>
      </w:pBdr>
      <w:tabs>
        <w:tab w:val="left" w:pos="1021"/>
      </w:tabs>
      <w:ind w:firstLine="0"/>
    </w:pPr>
  </w:style>
  <w:style w:type="paragraph" w:customStyle="1" w:styleId="Warning">
    <w:name w:val="Warning"/>
    <w:basedOn w:val="BodyText"/>
    <w:rsid w:val="00D11AB1"/>
    <w:pPr>
      <w:shd w:val="clear" w:color="auto" w:fill="D9D9D9"/>
      <w:tabs>
        <w:tab w:val="left" w:pos="992"/>
      </w:tabs>
      <w:ind w:left="119" w:right="119"/>
    </w:pPr>
    <w:rPr>
      <w:sz w:val="20"/>
    </w:rPr>
  </w:style>
  <w:style w:type="paragraph" w:customStyle="1" w:styleId="MarginIcons">
    <w:name w:val="Margin Icons"/>
    <w:basedOn w:val="BodyText"/>
    <w:rsid w:val="00D11A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AB1"/>
    <w:rPr>
      <w:rFonts w:ascii="Courier New" w:hAnsi="Courier New"/>
    </w:rPr>
  </w:style>
  <w:style w:type="paragraph" w:customStyle="1" w:styleId="NoteBullet">
    <w:name w:val="Note Bullet"/>
    <w:basedOn w:val="Note"/>
    <w:rsid w:val="00D11AB1"/>
    <w:pPr>
      <w:tabs>
        <w:tab w:val="clear" w:pos="680"/>
      </w:tabs>
      <w:spacing w:before="60" w:after="60"/>
    </w:pPr>
  </w:style>
  <w:style w:type="paragraph" w:customStyle="1" w:styleId="SubHeading2">
    <w:name w:val="SubHeading2"/>
    <w:basedOn w:val="HeadingBase"/>
    <w:rsid w:val="00D11AB1"/>
    <w:pPr>
      <w:spacing w:before="240" w:after="60"/>
    </w:pPr>
    <w:rPr>
      <w:sz w:val="20"/>
    </w:rPr>
  </w:style>
  <w:style w:type="paragraph" w:customStyle="1" w:styleId="SubHeading1">
    <w:name w:val="SubHeading1"/>
    <w:basedOn w:val="HeadingBase"/>
    <w:rsid w:val="00D11AB1"/>
    <w:pPr>
      <w:spacing w:before="240" w:after="60"/>
    </w:pPr>
    <w:rPr>
      <w:color w:val="918585"/>
      <w:sz w:val="22"/>
    </w:rPr>
  </w:style>
  <w:style w:type="paragraph" w:customStyle="1" w:styleId="SideHeading">
    <w:name w:val="Side Heading"/>
    <w:basedOn w:val="HeadingBase"/>
    <w:rsid w:val="00D11A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AB1"/>
    <w:pPr>
      <w:numPr>
        <w:numId w:val="12"/>
      </w:numPr>
    </w:pPr>
  </w:style>
  <w:style w:type="paragraph" w:styleId="PlainText">
    <w:name w:val="Plain Text"/>
    <w:basedOn w:val="Normal"/>
    <w:link w:val="PlainTextChar"/>
    <w:rsid w:val="00D11AB1"/>
    <w:rPr>
      <w:sz w:val="20"/>
    </w:rPr>
  </w:style>
  <w:style w:type="character" w:customStyle="1" w:styleId="PlainTextChar">
    <w:name w:val="Plain Text Char"/>
    <w:basedOn w:val="DefaultParagraphFont"/>
    <w:link w:val="PlainText"/>
    <w:rsid w:val="00D11AB1"/>
    <w:rPr>
      <w:rFonts w:ascii="Courier New" w:eastAsia="Times New Roman" w:hAnsi="Courier New" w:cs="Times New Roman"/>
      <w:sz w:val="20"/>
      <w:szCs w:val="20"/>
      <w:lang w:eastAsia="en-US"/>
    </w:rPr>
  </w:style>
  <w:style w:type="character" w:customStyle="1" w:styleId="MenuOption">
    <w:name w:val="Menu Option"/>
    <w:basedOn w:val="DefaultParagraphFont"/>
    <w:rsid w:val="00D11AB1"/>
    <w:rPr>
      <w:b/>
      <w:smallCaps/>
    </w:rPr>
  </w:style>
  <w:style w:type="paragraph" w:customStyle="1" w:styleId="TableListNumber">
    <w:name w:val="Table List Number"/>
    <w:basedOn w:val="ListNumber"/>
    <w:rsid w:val="00D11AB1"/>
    <w:pPr>
      <w:numPr>
        <w:numId w:val="0"/>
      </w:numPr>
    </w:pPr>
  </w:style>
  <w:style w:type="paragraph" w:styleId="TOC4">
    <w:name w:val="toc 4"/>
    <w:basedOn w:val="TOCBase"/>
    <w:next w:val="Normal"/>
    <w:semiHidden/>
    <w:rsid w:val="00D11AB1"/>
    <w:pPr>
      <w:tabs>
        <w:tab w:val="right" w:leader="dot" w:pos="9071"/>
      </w:tabs>
      <w:ind w:left="1701"/>
    </w:pPr>
  </w:style>
  <w:style w:type="paragraph" w:customStyle="1" w:styleId="ListAlpha">
    <w:name w:val="List Alpha"/>
    <w:basedOn w:val="List"/>
    <w:rsid w:val="00D11AB1"/>
    <w:pPr>
      <w:numPr>
        <w:numId w:val="10"/>
      </w:numPr>
    </w:pPr>
  </w:style>
  <w:style w:type="paragraph" w:customStyle="1" w:styleId="ListAlpha2">
    <w:name w:val="List Alpha 2"/>
    <w:basedOn w:val="List2"/>
    <w:rsid w:val="00D11AB1"/>
    <w:pPr>
      <w:numPr>
        <w:numId w:val="9"/>
      </w:numPr>
    </w:pPr>
  </w:style>
  <w:style w:type="paragraph" w:styleId="List2">
    <w:name w:val="List 2"/>
    <w:basedOn w:val="BodyText"/>
    <w:rsid w:val="00D11AB1"/>
    <w:pPr>
      <w:tabs>
        <w:tab w:val="left" w:pos="680"/>
      </w:tabs>
      <w:spacing w:before="60" w:after="60"/>
      <w:ind w:left="680" w:hanging="340"/>
    </w:pPr>
  </w:style>
  <w:style w:type="paragraph" w:styleId="List3">
    <w:name w:val="List 3"/>
    <w:basedOn w:val="BodyText"/>
    <w:rsid w:val="00D11AB1"/>
    <w:pPr>
      <w:tabs>
        <w:tab w:val="left" w:pos="1021"/>
      </w:tabs>
      <w:spacing w:before="60" w:after="60"/>
      <w:ind w:left="1020" w:hanging="340"/>
    </w:pPr>
  </w:style>
  <w:style w:type="paragraph" w:styleId="List4">
    <w:name w:val="List 4"/>
    <w:basedOn w:val="BodyText"/>
    <w:rsid w:val="00D11AB1"/>
    <w:pPr>
      <w:tabs>
        <w:tab w:val="left" w:pos="1361"/>
      </w:tabs>
      <w:spacing w:before="60" w:after="60"/>
      <w:ind w:left="1361" w:hanging="340"/>
    </w:pPr>
  </w:style>
  <w:style w:type="paragraph" w:styleId="List5">
    <w:name w:val="List 5"/>
    <w:basedOn w:val="BodyText"/>
    <w:rsid w:val="00D11AB1"/>
    <w:pPr>
      <w:tabs>
        <w:tab w:val="left" w:pos="1701"/>
      </w:tabs>
      <w:spacing w:before="60" w:after="60"/>
      <w:ind w:left="1701" w:hanging="340"/>
    </w:pPr>
  </w:style>
  <w:style w:type="paragraph" w:styleId="ListBullet4">
    <w:name w:val="List Bullet 4"/>
    <w:basedOn w:val="List4"/>
    <w:rsid w:val="00D11AB1"/>
    <w:pPr>
      <w:numPr>
        <w:numId w:val="4"/>
      </w:numPr>
      <w:tabs>
        <w:tab w:val="clear" w:pos="1361"/>
      </w:tabs>
    </w:pPr>
  </w:style>
  <w:style w:type="paragraph" w:styleId="ListBullet5">
    <w:name w:val="List Bullet 5"/>
    <w:basedOn w:val="List5"/>
    <w:rsid w:val="00D11AB1"/>
    <w:pPr>
      <w:numPr>
        <w:numId w:val="5"/>
      </w:numPr>
    </w:pPr>
  </w:style>
  <w:style w:type="paragraph" w:styleId="ListContinue2">
    <w:name w:val="List Continue 2"/>
    <w:basedOn w:val="List2"/>
    <w:rsid w:val="00D11AB1"/>
    <w:pPr>
      <w:ind w:firstLine="0"/>
    </w:pPr>
  </w:style>
  <w:style w:type="paragraph" w:styleId="ListContinue3">
    <w:name w:val="List Continue 3"/>
    <w:basedOn w:val="List3"/>
    <w:rsid w:val="00D11AB1"/>
    <w:pPr>
      <w:ind w:left="1021" w:firstLine="0"/>
    </w:pPr>
  </w:style>
  <w:style w:type="paragraph" w:styleId="ListContinue4">
    <w:name w:val="List Continue 4"/>
    <w:basedOn w:val="List4"/>
    <w:rsid w:val="00D11AB1"/>
    <w:pPr>
      <w:ind w:firstLine="0"/>
    </w:pPr>
  </w:style>
  <w:style w:type="paragraph" w:styleId="ListContinue5">
    <w:name w:val="List Continue 5"/>
    <w:basedOn w:val="List5"/>
    <w:rsid w:val="00D11AB1"/>
    <w:pPr>
      <w:ind w:firstLine="0"/>
    </w:pPr>
  </w:style>
  <w:style w:type="paragraph" w:styleId="ListNumber3">
    <w:name w:val="List Number 3"/>
    <w:basedOn w:val="List3"/>
    <w:rsid w:val="00D11AB1"/>
    <w:pPr>
      <w:numPr>
        <w:numId w:val="6"/>
      </w:numPr>
    </w:pPr>
  </w:style>
  <w:style w:type="paragraph" w:styleId="ListNumber4">
    <w:name w:val="List Number 4"/>
    <w:basedOn w:val="List4"/>
    <w:rsid w:val="00D11AB1"/>
    <w:pPr>
      <w:numPr>
        <w:numId w:val="7"/>
      </w:numPr>
    </w:pPr>
  </w:style>
  <w:style w:type="paragraph" w:styleId="ListNumber5">
    <w:name w:val="List Number 5"/>
    <w:basedOn w:val="List5"/>
    <w:rsid w:val="00D11AB1"/>
    <w:pPr>
      <w:numPr>
        <w:numId w:val="8"/>
      </w:numPr>
    </w:pPr>
  </w:style>
  <w:style w:type="paragraph" w:styleId="BlockText">
    <w:name w:val="Block Text"/>
    <w:basedOn w:val="Normal"/>
    <w:rsid w:val="00D11AB1"/>
    <w:pPr>
      <w:spacing w:after="120"/>
      <w:ind w:left="1440" w:right="1440"/>
    </w:pPr>
  </w:style>
  <w:style w:type="character" w:customStyle="1" w:styleId="Subscript">
    <w:name w:val="Subscript"/>
    <w:basedOn w:val="DefaultParagraphFont"/>
    <w:rsid w:val="00D11AB1"/>
    <w:rPr>
      <w:sz w:val="16"/>
      <w:vertAlign w:val="subscript"/>
    </w:rPr>
  </w:style>
  <w:style w:type="character" w:customStyle="1" w:styleId="Superscript">
    <w:name w:val="Superscript"/>
    <w:basedOn w:val="DefaultParagraphFont"/>
    <w:rsid w:val="00D11AB1"/>
    <w:rPr>
      <w:sz w:val="16"/>
      <w:vertAlign w:val="superscript"/>
    </w:rPr>
  </w:style>
  <w:style w:type="character" w:customStyle="1" w:styleId="Symbols">
    <w:name w:val="Symbols"/>
    <w:basedOn w:val="DefaultParagraphFont"/>
    <w:rsid w:val="00D11AB1"/>
    <w:rPr>
      <w:rFonts w:ascii="Symbol" w:hAnsi="Symbol"/>
    </w:rPr>
  </w:style>
  <w:style w:type="character" w:customStyle="1" w:styleId="MenuOptions">
    <w:name w:val="Menu Options"/>
    <w:basedOn w:val="DefaultParagraphFont"/>
    <w:rsid w:val="00D11AB1"/>
    <w:rPr>
      <w:rFonts w:ascii="Arial Narrow" w:hAnsi="Arial Narrow"/>
      <w:smallCaps/>
    </w:rPr>
  </w:style>
  <w:style w:type="character" w:customStyle="1" w:styleId="Buttons">
    <w:name w:val="Buttons"/>
    <w:basedOn w:val="DefaultParagraphFont"/>
    <w:rsid w:val="00D11AB1"/>
    <w:rPr>
      <w:b/>
    </w:rPr>
  </w:style>
  <w:style w:type="character" w:customStyle="1" w:styleId="Underlined">
    <w:name w:val="Underlined"/>
    <w:basedOn w:val="DefaultParagraphFont"/>
    <w:rsid w:val="00D11AB1"/>
    <w:rPr>
      <w:u w:val="single"/>
    </w:rPr>
  </w:style>
  <w:style w:type="paragraph" w:customStyle="1" w:styleId="TableBodyTextRight">
    <w:name w:val="Table Body Text Right"/>
    <w:basedOn w:val="TableBodyText"/>
    <w:rsid w:val="00D11AB1"/>
    <w:pPr>
      <w:widowControl w:val="0"/>
      <w:autoSpaceDE w:val="0"/>
      <w:autoSpaceDN w:val="0"/>
      <w:adjustRightInd w:val="0"/>
      <w:jc w:val="right"/>
    </w:pPr>
    <w:rPr>
      <w:rFonts w:cs="Arial"/>
      <w:szCs w:val="18"/>
    </w:rPr>
  </w:style>
  <w:style w:type="paragraph" w:customStyle="1" w:styleId="CopyrightText">
    <w:name w:val="Copyright Text"/>
    <w:basedOn w:val="BodyText"/>
    <w:rsid w:val="00D11AB1"/>
    <w:rPr>
      <w:sz w:val="18"/>
    </w:rPr>
  </w:style>
  <w:style w:type="paragraph" w:customStyle="1" w:styleId="BodySmallRight">
    <w:name w:val="Body Small Right"/>
    <w:basedOn w:val="BodyTextRight"/>
    <w:rsid w:val="00D11AB1"/>
    <w:rPr>
      <w:sz w:val="18"/>
      <w:szCs w:val="18"/>
    </w:rPr>
  </w:style>
  <w:style w:type="paragraph" w:customStyle="1" w:styleId="MarginEdition">
    <w:name w:val="Margin Edition"/>
    <w:basedOn w:val="MarginNote"/>
    <w:rsid w:val="00D11AB1"/>
    <w:pPr>
      <w:spacing w:before="0" w:after="0"/>
    </w:pPr>
    <w:rPr>
      <w:rFonts w:ascii="Times New Roman" w:hAnsi="Times New Roman"/>
      <w:color w:val="999999"/>
    </w:rPr>
  </w:style>
  <w:style w:type="paragraph" w:customStyle="1" w:styleId="Spacer">
    <w:name w:val="Spacer"/>
    <w:basedOn w:val="Normal"/>
    <w:rsid w:val="00D11AB1"/>
    <w:rPr>
      <w:sz w:val="2"/>
      <w:szCs w:val="2"/>
    </w:rPr>
  </w:style>
  <w:style w:type="character" w:customStyle="1" w:styleId="Small">
    <w:name w:val="Small"/>
    <w:basedOn w:val="DefaultParagraphFont"/>
    <w:rsid w:val="00D11AB1"/>
    <w:rPr>
      <w:sz w:val="16"/>
    </w:rPr>
  </w:style>
  <w:style w:type="paragraph" w:customStyle="1" w:styleId="WideTable">
    <w:name w:val="Wide Table"/>
    <w:basedOn w:val="Normal"/>
    <w:rsid w:val="00D11AB1"/>
    <w:pPr>
      <w:ind w:left="-1418"/>
    </w:pPr>
    <w:rPr>
      <w:sz w:val="2"/>
      <w:szCs w:val="2"/>
    </w:rPr>
  </w:style>
  <w:style w:type="character" w:styleId="PageNumber">
    <w:name w:val="page number"/>
    <w:basedOn w:val="DefaultParagraphFont"/>
    <w:rsid w:val="00D11AB1"/>
  </w:style>
  <w:style w:type="paragraph" w:styleId="Quote">
    <w:name w:val="Quote"/>
    <w:basedOn w:val="Heading1"/>
    <w:link w:val="QuoteChar"/>
    <w:qFormat/>
    <w:rsid w:val="00D11AB1"/>
    <w:rPr>
      <w:b w:val="0"/>
      <w:sz w:val="72"/>
      <w:szCs w:val="72"/>
      <w:lang w:val="en-NZ"/>
    </w:rPr>
  </w:style>
  <w:style w:type="character" w:customStyle="1" w:styleId="QuoteChar">
    <w:name w:val="Quote Char"/>
    <w:basedOn w:val="DefaultParagraphFont"/>
    <w:link w:val="Quote"/>
    <w:rsid w:val="00D11A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AB1"/>
    <w:pPr>
      <w:pageBreakBefore/>
    </w:pPr>
  </w:style>
  <w:style w:type="paragraph" w:customStyle="1" w:styleId="Border">
    <w:name w:val="Border"/>
    <w:basedOn w:val="Normal"/>
    <w:qFormat/>
    <w:rsid w:val="00D11A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AB1"/>
    <w:rPr>
      <w:b/>
      <w:bCs/>
      <w:i/>
      <w:iCs/>
      <w:color w:val="auto"/>
    </w:rPr>
  </w:style>
  <w:style w:type="paragraph" w:styleId="IntenseQuote">
    <w:name w:val="Intense Quote"/>
    <w:basedOn w:val="Normal"/>
    <w:next w:val="Normal"/>
    <w:link w:val="IntenseQuoteChar"/>
    <w:uiPriority w:val="30"/>
    <w:qFormat/>
    <w:rsid w:val="00D11A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A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AB1"/>
    <w:rPr>
      <w:smallCaps/>
      <w:color w:val="auto"/>
      <w:u w:val="single"/>
    </w:rPr>
  </w:style>
  <w:style w:type="character" w:styleId="IntenseReference">
    <w:name w:val="Intense Reference"/>
    <w:basedOn w:val="DefaultParagraphFont"/>
    <w:uiPriority w:val="32"/>
    <w:qFormat/>
    <w:rsid w:val="00D11AB1"/>
    <w:rPr>
      <w:b/>
      <w:bCs/>
      <w:smallCaps/>
      <w:color w:val="auto"/>
      <w:spacing w:val="5"/>
      <w:u w:val="single"/>
    </w:rPr>
  </w:style>
  <w:style w:type="paragraph" w:customStyle="1" w:styleId="2ColumnHeading">
    <w:name w:val="2Column Heading"/>
    <w:basedOn w:val="BodyText"/>
    <w:qFormat/>
    <w:rsid w:val="00D11AB1"/>
    <w:pPr>
      <w:spacing w:after="60"/>
      <w:ind w:left="-2268"/>
    </w:pPr>
    <w:rPr>
      <w:b/>
    </w:rPr>
  </w:style>
  <w:style w:type="paragraph" w:customStyle="1" w:styleId="Heading1TOC">
    <w:name w:val="Heading1 TOC"/>
    <w:basedOn w:val="Normal"/>
    <w:qFormat/>
    <w:rsid w:val="00D11AB1"/>
    <w:pPr>
      <w:spacing w:before="240" w:after="120"/>
    </w:pPr>
    <w:rPr>
      <w:rFonts w:ascii="Times New Roman" w:hAnsi="Times New Roman"/>
      <w:b/>
      <w:sz w:val="32"/>
    </w:rPr>
  </w:style>
  <w:style w:type="paragraph" w:customStyle="1" w:styleId="Heading2TOC">
    <w:name w:val="Heading2 TOC"/>
    <w:basedOn w:val="Normal"/>
    <w:qFormat/>
    <w:rsid w:val="00D11AB1"/>
    <w:pPr>
      <w:spacing w:before="240" w:after="60"/>
    </w:pPr>
    <w:rPr>
      <w:rFonts w:ascii="Times New Roman" w:hAnsi="Times New Roman"/>
      <w:b/>
      <w:sz w:val="28"/>
    </w:rPr>
  </w:style>
  <w:style w:type="character" w:customStyle="1" w:styleId="Underline">
    <w:name w:val="Underline"/>
    <w:basedOn w:val="DefaultParagraphFont"/>
    <w:qFormat/>
    <w:rsid w:val="00D11AB1"/>
    <w:rPr>
      <w:u w:val="single"/>
    </w:rPr>
  </w:style>
  <w:style w:type="character" w:customStyle="1" w:styleId="BoldandItalics">
    <w:name w:val="Bold and Italics"/>
    <w:qFormat/>
    <w:rsid w:val="00D11AB1"/>
    <w:rPr>
      <w:b/>
      <w:i/>
      <w:u w:val="none"/>
    </w:rPr>
  </w:style>
  <w:style w:type="paragraph" w:styleId="BalloonText">
    <w:name w:val="Balloon Text"/>
    <w:basedOn w:val="Normal"/>
    <w:link w:val="BalloonTextChar"/>
    <w:rsid w:val="00D11AB1"/>
    <w:rPr>
      <w:rFonts w:ascii="Tahoma" w:hAnsi="Tahoma" w:cs="Tahoma"/>
      <w:sz w:val="16"/>
      <w:szCs w:val="16"/>
    </w:rPr>
  </w:style>
  <w:style w:type="character" w:customStyle="1" w:styleId="BalloonTextChar">
    <w:name w:val="Balloon Text Char"/>
    <w:basedOn w:val="DefaultParagraphFont"/>
    <w:link w:val="BalloonText"/>
    <w:rsid w:val="00D11A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A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A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AB1"/>
    <w:rPr>
      <w:b/>
      <w:color w:val="660033"/>
      <w:spacing w:val="0"/>
    </w:rPr>
  </w:style>
  <w:style w:type="paragraph" w:customStyle="1" w:styleId="Nameditemlist">
    <w:name w:val="Named item list"/>
    <w:basedOn w:val="BodyText"/>
    <w:qFormat/>
    <w:rsid w:val="00D11AB1"/>
    <w:pPr>
      <w:tabs>
        <w:tab w:val="left" w:pos="2835"/>
      </w:tabs>
      <w:ind w:left="2835" w:hanging="2835"/>
    </w:pPr>
  </w:style>
  <w:style w:type="paragraph" w:customStyle="1" w:styleId="BodyTextnopadding">
    <w:name w:val="Body Text no padding"/>
    <w:basedOn w:val="BodyText"/>
    <w:qFormat/>
    <w:rsid w:val="00D11AB1"/>
    <w:pPr>
      <w:spacing w:before="0" w:after="0"/>
    </w:pPr>
  </w:style>
  <w:style w:type="paragraph" w:customStyle="1" w:styleId="BodyTextBold">
    <w:name w:val="Body Text Bold"/>
    <w:basedOn w:val="BodyText"/>
    <w:qFormat/>
    <w:rsid w:val="00D11AB1"/>
    <w:rPr>
      <w:b/>
    </w:rPr>
  </w:style>
  <w:style w:type="character" w:styleId="Hyperlink">
    <w:name w:val="Hyperlink"/>
    <w:basedOn w:val="DefaultParagraphFont"/>
    <w:uiPriority w:val="99"/>
    <w:unhideWhenUsed/>
    <w:rsid w:val="005F7D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Words>
  <Characters>7297</Characters>
  <Application>Microsoft Office Word</Application>
  <DocSecurity>0</DocSecurity>
  <Lines>221</Lines>
  <Paragraphs>138</Paragraphs>
  <ScaleCrop>false</ScaleCrop>
  <Company>Author-it Software Corporation Ltd.</Company>
  <LinksUpToDate>false</LinksUpToDate>
  <CharactersWithSpaces>8284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HLTPAT007 Collect arterial blood samples</dc:title>
  <dc:subject>Approved</dc:subject>
  <dc:creator>HumanAbility</dc:creator>
  <cp:keywords>Release: 1</cp:keywords>
  <dc:description>Review Date: 12 April 2008</dc:description>
  <cp:lastModifiedBy>HSD_TPCMSd.prod</cp:lastModifiedBy>
  <cp:revision>3</cp:revision>
  <dcterms:created xsi:type="dcterms:W3CDTF">2025-03-01T12:28:00Z</dcterms:created>
  <dcterms:modified xsi:type="dcterms:W3CDTF">2025-03-01T12:28:00Z</dcterms:modified>
</cp:coreProperties>
</file>