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4C7" w:rsidP="00556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HLTPAT004 Collect pathology specimens other than blood</w:t>
      </w:r>
      <w:r>
        <w:fldChar w:fldCharType="end"/>
      </w:r>
    </w:p>
    <w:p w:rsidR="005564C7" w:rsidP="005564C7">
      <w:pPr>
        <w:pStyle w:val="Version"/>
        <w:sectPr w:rsidSect="00A95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6B3" w:rsidP="00A956B3">
      <w:pPr>
        <w:pStyle w:val="SuperHeading"/>
      </w:pPr>
      <w:r w:rsidRPr="00A956B3">
        <w:t>HLTPAT004 Collect pathology specimens other than blood</w:t>
      </w:r>
    </w:p>
    <w:p w:rsidR="00000000" w:rsidRPr="00A956B3" w:rsidP="00A956B3">
      <w:pPr>
        <w:pStyle w:val="Heading1"/>
      </w:pPr>
      <w:bookmarkStart w:id="1" w:name="O_657061"/>
      <w:bookmarkEnd w:id="1"/>
      <w:r w:rsidRPr="00A956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  <w:r w:rsidRPr="00A956B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rPr>
                <w:rStyle w:val="SpecialBold"/>
              </w:rPr>
              <w:t>Comments</w:t>
            </w: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  <w:r w:rsidRPr="00A956B3">
              <w:t xml:space="preserve">This version was released in </w:t>
            </w:r>
            <w:r w:rsidRPr="00A956B3">
              <w:rPr>
                <w:rStyle w:val="Emphasis"/>
              </w:rPr>
              <w:t>HLT Health Training Package release 2.0</w:t>
            </w:r>
            <w:r w:rsidRPr="00A956B3">
              <w:t xml:space="preserve"> and meets the requirements of the 2012 Standards for Training Packages.</w:t>
            </w:r>
          </w:p>
          <w:p w:rsidR="00000000" w:rsidRPr="00A956B3" w:rsidP="00A956B3">
            <w:pPr>
              <w:pStyle w:val="BodyText"/>
            </w:pPr>
            <w:r w:rsidRPr="00A956B3">
              <w:t xml:space="preserve">Merged HLTPAT304/410. Significant changes to the </w:t>
            </w:r>
            <w:r w:rsidRPr="00A956B3">
              <w:t>elements and performance criteria. New evidence requirements for assessment, including volume and frequency requirements. Significant change to knowledge evidence. Removed prerequisite.</w:t>
            </w:r>
          </w:p>
        </w:tc>
      </w:tr>
    </w:tbl>
    <w:p w:rsidR="005564C7" w:rsidP="00A956B3">
      <w:pPr>
        <w:pStyle w:val="BodyText"/>
      </w:pPr>
    </w:p>
    <w:p w:rsidR="005564C7" w:rsidP="00A956B3">
      <w:pPr>
        <w:pStyle w:val="BodyText"/>
      </w:pPr>
    </w:p>
    <w:p w:rsidR="00000000" w:rsidRPr="00A956B3" w:rsidP="00A956B3">
      <w:pPr>
        <w:pStyle w:val="Heading1"/>
      </w:pPr>
      <w:bookmarkStart w:id="2" w:name="O_657062"/>
      <w:bookmarkEnd w:id="2"/>
      <w:r w:rsidRPr="00A956B3">
        <w:t>Application</w:t>
      </w:r>
    </w:p>
    <w:p w:rsidR="00000000" w:rsidRPr="00A956B3" w:rsidP="005564C7">
      <w:pPr>
        <w:pStyle w:val="BodyText"/>
      </w:pPr>
      <w:r w:rsidRPr="00A956B3">
        <w:t>This unit describes the skills and kno</w:t>
      </w:r>
      <w:r w:rsidRPr="00A956B3">
        <w:t>wledge required to confirm collection requirements, prepare client and equipment and make routine pathology specimen collections.</w:t>
      </w:r>
    </w:p>
    <w:p w:rsidR="00000000" w:rsidRPr="00A956B3" w:rsidP="005564C7">
      <w:pPr>
        <w:pStyle w:val="BodyText"/>
      </w:pPr>
      <w:r w:rsidRPr="00A956B3">
        <w:t>This unit applies to any individual for whom specimen collection is part of the job role. They may be working in collection c</w:t>
      </w:r>
      <w:r w:rsidRPr="00A956B3">
        <w:t>entres, in hospitals or in other health care environments.</w:t>
      </w:r>
    </w:p>
    <w:p w:rsidR="00000000" w:rsidRPr="005564C7" w:rsidP="005564C7">
      <w:pPr>
        <w:pStyle w:val="BodyText"/>
        <w:rPr>
          <w:i/>
        </w:rPr>
      </w:pPr>
      <w:r w:rsidRPr="005564C7">
        <w:rPr>
          <w:rStyle w:val="Emphasis"/>
        </w:rPr>
        <w:t>The skills in this unit must be applied in accordance with Commonwealth and State/Territory legislation, Australia /New Zealand standards and industry codes of practice.</w:t>
      </w:r>
    </w:p>
    <w:p w:rsidR="00000000" w:rsidRPr="00A956B3" w:rsidP="00A956B3">
      <w:pPr>
        <w:pStyle w:val="Heading1"/>
      </w:pPr>
      <w:bookmarkStart w:id="3" w:name="O_657066"/>
      <w:bookmarkEnd w:id="3"/>
      <w:r w:rsidRPr="00A956B3">
        <w:t xml:space="preserve">Elements </w:t>
      </w:r>
      <w:r w:rsidRPr="00A956B3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  <w:r w:rsidRPr="00A956B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rPr>
                <w:rStyle w:val="SpecialBold"/>
              </w:rPr>
              <w:t>PERFORMANCE CRITERIA</w:t>
            </w: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  <w:r w:rsidRPr="00A956B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t>1. Confirm collection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  <w:r w:rsidRPr="00A956B3">
              <w:t>1.1 Greet client courteously and identify self</w:t>
            </w:r>
          </w:p>
          <w:p w:rsidR="00000000" w:rsidRPr="00A956B3" w:rsidP="00A956B3">
            <w:pPr>
              <w:pStyle w:val="BodyText"/>
            </w:pPr>
            <w:r w:rsidRPr="00A956B3">
              <w:t>1.2 Identify client following organisation and regulatory procedures</w:t>
            </w:r>
          </w:p>
          <w:p w:rsidR="00000000" w:rsidRPr="00A956B3" w:rsidP="00A956B3">
            <w:pPr>
              <w:pStyle w:val="BodyText"/>
            </w:pPr>
            <w:r w:rsidRPr="00A956B3">
              <w:t>1.3 Confirm that client meets pre-testing criteria for required collection</w:t>
            </w:r>
          </w:p>
          <w:p w:rsidR="00000000" w:rsidRPr="00A956B3" w:rsidP="00A956B3">
            <w:pPr>
              <w:pStyle w:val="BodyText"/>
            </w:pPr>
            <w:r w:rsidRPr="00A956B3">
              <w:t>1.4 Obtain, interpret and accurately record personal and clinical</w:t>
            </w:r>
            <w:r w:rsidRPr="00A956B3">
              <w:t xml:space="preserve"> information in accordance with organisation policies and procedures</w:t>
            </w:r>
          </w:p>
          <w:p w:rsidR="00000000" w:rsidRPr="00A956B3" w:rsidP="00A956B3">
            <w:pPr>
              <w:pStyle w:val="BodyText"/>
            </w:pPr>
            <w:r w:rsidRPr="00A956B3">
              <w:t>1.5 Explain collection procedure to client</w:t>
            </w:r>
          </w:p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t>1.6 Obtain consent for collection procedure from client</w:t>
            </w: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  <w:r w:rsidRPr="00A956B3">
              <w:t>2. Prepare for collection procedure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  <w:r w:rsidRPr="00A956B3">
              <w:t>2.1 Confirm method of collection based on correct interpretation of clinical request and organisation requirements</w:t>
            </w:r>
          </w:p>
          <w:p w:rsidR="00000000" w:rsidRPr="00A956B3" w:rsidP="00A956B3">
            <w:pPr>
              <w:pStyle w:val="BodyText"/>
            </w:pPr>
            <w:r w:rsidRPr="00A956B3">
              <w:t>2.2 Select equipment and prepare following organisation procedures</w:t>
            </w:r>
          </w:p>
          <w:p w:rsidR="00000000" w:rsidRPr="00A956B3" w:rsidP="00A956B3">
            <w:pPr>
              <w:pStyle w:val="BodyText"/>
            </w:pPr>
            <w:r w:rsidRPr="00A956B3">
              <w:t>2.3 Position client appropriately to ensure comfort and safety of both cli</w:t>
            </w:r>
            <w:r w:rsidRPr="00A956B3">
              <w:t>ent and collector</w:t>
            </w:r>
          </w:p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t>2.4 Identify when assistance may be needed and seek help if required</w:t>
            </w: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t xml:space="preserve">3. Collect specimen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  <w:r w:rsidRPr="00A956B3">
              <w:t>3.1 Adopt standard and additional infection control guidelines and precautions according to organisation documented procedure</w:t>
            </w:r>
          </w:p>
          <w:p w:rsidR="00000000" w:rsidRPr="00A956B3" w:rsidP="00A956B3">
            <w:pPr>
              <w:pStyle w:val="BodyText"/>
            </w:pPr>
            <w:r w:rsidRPr="00A956B3">
              <w:t>3.2 Follow documen</w:t>
            </w:r>
            <w:r w:rsidRPr="00A956B3">
              <w:t>ted procedures for collection of sample</w:t>
            </w:r>
          </w:p>
          <w:p w:rsidR="00000000" w:rsidRPr="00A956B3" w:rsidP="00A956B3">
            <w:pPr>
              <w:pStyle w:val="BodyText"/>
            </w:pPr>
            <w:r w:rsidRPr="00A956B3">
              <w:t>3.3 Use collection and clinical equipment appropriately and safely to avoid contamination of sample</w:t>
            </w:r>
          </w:p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t>3.4 Observe client during and after collection for potential adverse effects and respond according to procedure</w:t>
            </w: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t>4. Follow post collection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  <w:r w:rsidRPr="00A956B3">
              <w:t xml:space="preserve">4.1 Dispose of waste in accordance with infection control protocols and organisation policies and procedures </w:t>
            </w:r>
          </w:p>
          <w:p w:rsidR="00000000" w:rsidRPr="00A956B3" w:rsidP="00A956B3">
            <w:pPr>
              <w:pStyle w:val="BodyText"/>
            </w:pPr>
            <w:r w:rsidRPr="00A956B3">
              <w:t>4.2 Accurately label sample in front of client with time and date of collection, client details and other req</w:t>
            </w:r>
            <w:r w:rsidRPr="00A956B3">
              <w:t>uired information following regulatory and organisational guidelines</w:t>
            </w:r>
          </w:p>
          <w:p w:rsidR="00000000" w:rsidRPr="00A956B3" w:rsidP="00A956B3">
            <w:pPr>
              <w:pStyle w:val="BodyText"/>
            </w:pPr>
            <w:r w:rsidRPr="00A956B3">
              <w:t>4.3 Confirm information accuracy with client</w:t>
            </w:r>
          </w:p>
          <w:p w:rsidR="00000000" w:rsidRPr="00A956B3" w:rsidP="00A956B3">
            <w:pPr>
              <w:pStyle w:val="BodyText"/>
            </w:pPr>
            <w:r w:rsidRPr="00A956B3">
              <w:t>4.4 Complete other collection documentation in accordance with organisation procedures</w:t>
            </w:r>
          </w:p>
          <w:p w:rsidR="00000000" w:rsidRPr="00A956B3" w:rsidP="00A956B3">
            <w:pPr>
              <w:pStyle w:val="BodyText"/>
            </w:pPr>
            <w:r w:rsidRPr="00A956B3">
              <w:t>4.5 Prepare collected samples for transit or store</w:t>
            </w:r>
            <w:r w:rsidRPr="00A956B3">
              <w:rPr>
                <w:rStyle w:val="Emphasis"/>
              </w:rPr>
              <w:t xml:space="preserve"> </w:t>
            </w:r>
            <w:r w:rsidRPr="00A956B3">
              <w:t>acco</w:t>
            </w:r>
            <w:r w:rsidRPr="00A956B3">
              <w:t xml:space="preserve">rding to test and organisational requirements </w:t>
            </w:r>
          </w:p>
        </w:tc>
      </w:tr>
    </w:tbl>
    <w:p w:rsidR="005564C7" w:rsidP="00A956B3">
      <w:pPr>
        <w:pStyle w:val="ListContinue"/>
      </w:pPr>
    </w:p>
    <w:p w:rsidR="005564C7" w:rsidP="00A956B3">
      <w:pPr>
        <w:pStyle w:val="ListContinue"/>
      </w:pPr>
    </w:p>
    <w:p w:rsidR="00000000" w:rsidRPr="00A956B3" w:rsidP="00A956B3">
      <w:pPr>
        <w:pStyle w:val="Heading1"/>
      </w:pPr>
      <w:bookmarkStart w:id="4" w:name="O_657067"/>
      <w:bookmarkEnd w:id="4"/>
      <w:r w:rsidRPr="00A956B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B3">
            <w:pPr>
              <w:pStyle w:val="BodyText"/>
              <w:rPr>
                <w:lang w:val="en-NZ"/>
              </w:rPr>
            </w:pPr>
            <w:r w:rsidRPr="00A956B3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A956B3">
              <w:t xml:space="preserve">skills) that are essential </w:t>
            </w:r>
            <w:r w:rsidRPr="00A956B3">
              <w:rPr>
                <w:rStyle w:val="Emphasis"/>
              </w:rPr>
              <w:t>to performance.</w:t>
            </w:r>
          </w:p>
        </w:tc>
      </w:tr>
      <w:tr w:rsidTr="00A9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B3" w:rsidP="00A956B3">
            <w:pPr>
              <w:pStyle w:val="BodyText"/>
            </w:pPr>
          </w:p>
          <w:p w:rsidR="00000000" w:rsidRPr="00A956B3" w:rsidP="00A956B3">
            <w:pPr>
              <w:pStyle w:val="BodyText"/>
            </w:pPr>
            <w:r w:rsidRPr="00A956B3">
              <w:t>Foundation skills essential to performance are explicit in the performance criteria of this unit of competency.</w:t>
            </w:r>
          </w:p>
        </w:tc>
      </w:tr>
    </w:tbl>
    <w:p w:rsidR="005564C7" w:rsidP="00A956B3">
      <w:pPr>
        <w:pStyle w:val="BodyText"/>
      </w:pPr>
    </w:p>
    <w:p w:rsidR="005564C7" w:rsidP="00A956B3">
      <w:pPr>
        <w:pStyle w:val="BodyText"/>
      </w:pPr>
    </w:p>
    <w:p w:rsidR="00000000" w:rsidRPr="00A956B3" w:rsidP="00A956B3">
      <w:pPr>
        <w:pStyle w:val="Heading1"/>
      </w:pPr>
      <w:bookmarkStart w:id="5" w:name="O_657069"/>
      <w:bookmarkEnd w:id="5"/>
      <w:r w:rsidRPr="00A956B3">
        <w:t>Unit Mapping Information</w:t>
      </w:r>
    </w:p>
    <w:p w:rsidR="00000000" w:rsidRPr="00A956B3" w:rsidP="005564C7">
      <w:pPr>
        <w:pStyle w:val="BodyText"/>
      </w:pPr>
      <w:r w:rsidRPr="00A956B3">
        <w:t xml:space="preserve">No equivalent unit. </w:t>
      </w:r>
    </w:p>
    <w:p w:rsidR="00000000" w:rsidRPr="00A956B3" w:rsidP="00A956B3">
      <w:pPr>
        <w:pStyle w:val="Heading1"/>
      </w:pPr>
      <w:bookmarkStart w:id="6" w:name="O_657076"/>
      <w:bookmarkEnd w:id="6"/>
      <w:r w:rsidRPr="00A956B3">
        <w:t>Links</w:t>
      </w:r>
    </w:p>
    <w:p w:rsidR="00000000" w:rsidRPr="00A956B3" w:rsidP="005564C7">
      <w:pPr>
        <w:pStyle w:val="BodyText"/>
      </w:pPr>
      <w:r w:rsidRPr="00A95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26D8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956B3" w:rsidP="00A956B3"/>
    <w:sectPr w:rsidSect="00A956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B3" w:rsidRPr="005564C7" w:rsidP="00556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C7" w:rsidP="00A95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64C7" w:rsidP="00A95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64C7" w:rsidP="00A95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6B3" w:rsidRPr="005564C7" w:rsidP="00556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C7" w:rsidRPr="002D2AF8" w:rsidP="00A95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HLTPAT004 Collect pathology specimens other than blood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564C7" w:rsidP="00A95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6B3"/>
  </w:style>
  <w:style w:type="character" w:customStyle="1" w:styleId="Heading1Char">
    <w:name w:val="Heading 1 Char"/>
    <w:basedOn w:val="DefaultParagraphFont"/>
    <w:link w:val="Heading1"/>
    <w:rsid w:val="00A95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6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56B3"/>
    <w:rPr>
      <w:b/>
      <w:spacing w:val="0"/>
    </w:rPr>
  </w:style>
  <w:style w:type="character" w:styleId="Emphasis">
    <w:name w:val="Emphasis"/>
    <w:basedOn w:val="DefaultParagraphFont"/>
    <w:qFormat/>
    <w:rsid w:val="00A956B3"/>
    <w:rPr>
      <w:i/>
    </w:rPr>
  </w:style>
  <w:style w:type="paragraph" w:customStyle="1" w:styleId="SuperHeading">
    <w:name w:val="SuperHeading"/>
    <w:basedOn w:val="Normal"/>
    <w:rsid w:val="00A95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A956B3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A95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6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6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56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5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6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6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6B3"/>
  </w:style>
  <w:style w:type="paragraph" w:styleId="TableofFigures">
    <w:name w:val="table of figures"/>
    <w:basedOn w:val="Normal"/>
    <w:next w:val="Normal"/>
    <w:semiHidden/>
    <w:rsid w:val="00A95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6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56B3"/>
    <w:rPr>
      <w:rFonts w:ascii="Wingdings" w:hAnsi="Wingdings"/>
    </w:rPr>
  </w:style>
  <w:style w:type="paragraph" w:customStyle="1" w:styleId="TableHeading">
    <w:name w:val="Table Heading"/>
    <w:basedOn w:val="HeadingBase"/>
    <w:rsid w:val="00A95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6B3"/>
    <w:rPr>
      <w:color w:val="0033CC"/>
      <w:u w:val="none"/>
    </w:rPr>
  </w:style>
  <w:style w:type="paragraph" w:customStyle="1" w:styleId="BodyTextRight">
    <w:name w:val="Body Text Right"/>
    <w:basedOn w:val="BodyText"/>
    <w:rsid w:val="00A95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6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6B3"/>
    <w:rPr>
      <w:sz w:val="32"/>
    </w:rPr>
  </w:style>
  <w:style w:type="paragraph" w:customStyle="1" w:styleId="HeadingProcedure">
    <w:name w:val="Heading Procedure"/>
    <w:basedOn w:val="HeadingBase"/>
    <w:next w:val="Normal"/>
    <w:rsid w:val="00A95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6B3"/>
    <w:pPr>
      <w:spacing w:before="60" w:after="60"/>
    </w:pPr>
  </w:style>
  <w:style w:type="paragraph" w:customStyle="1" w:styleId="ListNote">
    <w:name w:val="List Note"/>
    <w:basedOn w:val="List"/>
    <w:rsid w:val="00A95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6B3"/>
    <w:rPr>
      <w:rFonts w:ascii="Courier New" w:hAnsi="Courier New"/>
    </w:rPr>
  </w:style>
  <w:style w:type="paragraph" w:customStyle="1" w:styleId="NoteBullet">
    <w:name w:val="Note Bullet"/>
    <w:basedOn w:val="Note"/>
    <w:rsid w:val="00A95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6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5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6B3"/>
    <w:rPr>
      <w:b/>
      <w:smallCaps/>
    </w:rPr>
  </w:style>
  <w:style w:type="paragraph" w:customStyle="1" w:styleId="TableListNumber">
    <w:name w:val="Table List Number"/>
    <w:basedOn w:val="ListNumber"/>
    <w:rsid w:val="00A95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6B3"/>
    <w:pPr>
      <w:numPr>
        <w:numId w:val="7"/>
      </w:numPr>
    </w:pPr>
  </w:style>
  <w:style w:type="paragraph" w:customStyle="1" w:styleId="ListAlpha2">
    <w:name w:val="List Alpha 2"/>
    <w:basedOn w:val="List2"/>
    <w:rsid w:val="00A956B3"/>
    <w:pPr>
      <w:numPr>
        <w:numId w:val="6"/>
      </w:numPr>
    </w:pPr>
  </w:style>
  <w:style w:type="paragraph" w:styleId="List2">
    <w:name w:val="List 2"/>
    <w:basedOn w:val="BodyText"/>
    <w:rsid w:val="00A95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6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6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56B3"/>
    <w:pPr>
      <w:numPr>
        <w:numId w:val="2"/>
      </w:numPr>
    </w:pPr>
  </w:style>
  <w:style w:type="paragraph" w:styleId="ListContinue2">
    <w:name w:val="List Continue 2"/>
    <w:basedOn w:val="List2"/>
    <w:rsid w:val="00A956B3"/>
    <w:pPr>
      <w:ind w:firstLine="0"/>
    </w:pPr>
  </w:style>
  <w:style w:type="paragraph" w:styleId="ListContinue3">
    <w:name w:val="List Continue 3"/>
    <w:basedOn w:val="List3"/>
    <w:rsid w:val="00A956B3"/>
    <w:pPr>
      <w:ind w:left="1021" w:firstLine="0"/>
    </w:pPr>
  </w:style>
  <w:style w:type="paragraph" w:styleId="ListContinue4">
    <w:name w:val="List Continue 4"/>
    <w:basedOn w:val="List4"/>
    <w:rsid w:val="00A956B3"/>
    <w:pPr>
      <w:ind w:firstLine="0"/>
    </w:pPr>
  </w:style>
  <w:style w:type="paragraph" w:styleId="ListContinue5">
    <w:name w:val="List Continue 5"/>
    <w:basedOn w:val="List5"/>
    <w:rsid w:val="00A956B3"/>
    <w:pPr>
      <w:ind w:firstLine="0"/>
    </w:pPr>
  </w:style>
  <w:style w:type="paragraph" w:styleId="ListNumber3">
    <w:name w:val="List Number 3"/>
    <w:basedOn w:val="List3"/>
    <w:rsid w:val="00A956B3"/>
    <w:pPr>
      <w:numPr>
        <w:numId w:val="3"/>
      </w:numPr>
    </w:pPr>
  </w:style>
  <w:style w:type="paragraph" w:styleId="ListNumber4">
    <w:name w:val="List Number 4"/>
    <w:basedOn w:val="List4"/>
    <w:rsid w:val="00A956B3"/>
    <w:pPr>
      <w:numPr>
        <w:numId w:val="4"/>
      </w:numPr>
    </w:pPr>
  </w:style>
  <w:style w:type="paragraph" w:styleId="ListNumber5">
    <w:name w:val="List Number 5"/>
    <w:basedOn w:val="List5"/>
    <w:rsid w:val="00A956B3"/>
    <w:pPr>
      <w:numPr>
        <w:numId w:val="5"/>
      </w:numPr>
    </w:pPr>
  </w:style>
  <w:style w:type="paragraph" w:styleId="BlockText">
    <w:name w:val="Block Text"/>
    <w:basedOn w:val="Normal"/>
    <w:rsid w:val="00A95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6B3"/>
    <w:rPr>
      <w:sz w:val="16"/>
      <w:vertAlign w:val="superscript"/>
    </w:rPr>
  </w:style>
  <w:style w:type="character" w:customStyle="1" w:styleId="Symbols">
    <w:name w:val="Symbols"/>
    <w:basedOn w:val="DefaultParagraphFont"/>
    <w:rsid w:val="00A956B3"/>
    <w:rPr>
      <w:rFonts w:ascii="Symbol" w:hAnsi="Symbol"/>
    </w:rPr>
  </w:style>
  <w:style w:type="character" w:customStyle="1" w:styleId="MenuOptions">
    <w:name w:val="Menu Options"/>
    <w:basedOn w:val="DefaultParagraphFont"/>
    <w:rsid w:val="00A95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6B3"/>
    <w:rPr>
      <w:b/>
    </w:rPr>
  </w:style>
  <w:style w:type="character" w:customStyle="1" w:styleId="Underlined">
    <w:name w:val="Underlined"/>
    <w:basedOn w:val="DefaultParagraphFont"/>
    <w:rsid w:val="00A956B3"/>
    <w:rPr>
      <w:u w:val="single"/>
    </w:rPr>
  </w:style>
  <w:style w:type="paragraph" w:customStyle="1" w:styleId="TableBodyTextRight">
    <w:name w:val="Table Body Text Right"/>
    <w:basedOn w:val="TableBodyText"/>
    <w:rsid w:val="00A95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6B3"/>
    <w:rPr>
      <w:sz w:val="18"/>
    </w:rPr>
  </w:style>
  <w:style w:type="paragraph" w:customStyle="1" w:styleId="BodySmallRight">
    <w:name w:val="Body Small Right"/>
    <w:basedOn w:val="BodyTextRight"/>
    <w:rsid w:val="00A956B3"/>
    <w:rPr>
      <w:sz w:val="18"/>
      <w:szCs w:val="18"/>
    </w:rPr>
  </w:style>
  <w:style w:type="paragraph" w:customStyle="1" w:styleId="MarginEdition">
    <w:name w:val="Margin Edition"/>
    <w:basedOn w:val="MarginNote"/>
    <w:rsid w:val="00A95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6B3"/>
    <w:rPr>
      <w:sz w:val="2"/>
      <w:szCs w:val="2"/>
    </w:rPr>
  </w:style>
  <w:style w:type="character" w:customStyle="1" w:styleId="Small">
    <w:name w:val="Small"/>
    <w:basedOn w:val="DefaultParagraphFont"/>
    <w:rsid w:val="00A956B3"/>
    <w:rPr>
      <w:sz w:val="16"/>
    </w:rPr>
  </w:style>
  <w:style w:type="paragraph" w:customStyle="1" w:styleId="WideTable">
    <w:name w:val="Wide Table"/>
    <w:basedOn w:val="Normal"/>
    <w:rsid w:val="00A95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6B3"/>
  </w:style>
  <w:style w:type="paragraph" w:styleId="Quote">
    <w:name w:val="Quote"/>
    <w:basedOn w:val="Heading1"/>
    <w:link w:val="QuoteChar"/>
    <w:qFormat/>
    <w:rsid w:val="00A95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6B3"/>
    <w:pPr>
      <w:pageBreakBefore/>
    </w:pPr>
  </w:style>
  <w:style w:type="paragraph" w:customStyle="1" w:styleId="Border">
    <w:name w:val="Border"/>
    <w:basedOn w:val="Normal"/>
    <w:qFormat/>
    <w:rsid w:val="00A95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6B3"/>
    <w:rPr>
      <w:u w:val="single"/>
    </w:rPr>
  </w:style>
  <w:style w:type="character" w:customStyle="1" w:styleId="BoldandItalics">
    <w:name w:val="Bold and Italics"/>
    <w:qFormat/>
    <w:rsid w:val="00A956B3"/>
    <w:rPr>
      <w:b/>
      <w:i/>
      <w:u w:val="none"/>
    </w:rPr>
  </w:style>
  <w:style w:type="paragraph" w:styleId="BalloonText">
    <w:name w:val="Balloon Text"/>
    <w:basedOn w:val="Normal"/>
    <w:link w:val="BalloonTextChar"/>
    <w:rsid w:val="00A95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6B3"/>
    <w:pPr>
      <w:spacing w:before="0" w:after="0"/>
    </w:pPr>
  </w:style>
  <w:style w:type="paragraph" w:customStyle="1" w:styleId="BodyTextBold">
    <w:name w:val="Body Text Bold"/>
    <w:basedOn w:val="BodyText"/>
    <w:qFormat/>
    <w:rsid w:val="00A956B3"/>
    <w:rPr>
      <w:b/>
    </w:rPr>
  </w:style>
  <w:style w:type="character" w:styleId="Hyperlink">
    <w:name w:val="Hyperlink"/>
    <w:basedOn w:val="DefaultParagraphFont"/>
    <w:uiPriority w:val="99"/>
    <w:unhideWhenUsed/>
    <w:rsid w:val="00556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3260</Characters>
  <Application>Microsoft Office Word</Application>
  <DocSecurity>0</DocSecurity>
  <Lines>116</Lines>
  <Paragraphs>57</Paragraphs>
  <ScaleCrop>false</ScaleCrop>
  <Company>Author-it Software Corporation Ltd.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HLTPAT004 Collect pathology specimens other than blood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