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3A0A" w:rsidP="00C33A0A">
      <w:pPr>
        <w:pStyle w:val="Title"/>
      </w:pPr>
      <w:r>
        <w:fldChar w:fldCharType="begin"/>
      </w:r>
      <w:r>
        <w:instrText xml:space="preserve"> TITLE   \* MERGEFORMAT </w:instrText>
      </w:r>
      <w:r>
        <w:fldChar w:fldCharType="separate"/>
      </w:r>
      <w:r>
        <w:t>HLTPAT004 Collect pathology specimens other than blood</w:t>
      </w:r>
      <w:r>
        <w:fldChar w:fldCharType="end"/>
      </w:r>
    </w:p>
    <w:p w:rsidR="00C33A0A" w:rsidP="00C33A0A">
      <w:pPr>
        <w:pStyle w:val="Version"/>
        <w:sectPr w:rsidSect="00A14A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4A51" w:rsidP="00A14A51">
      <w:pPr>
        <w:pStyle w:val="SuperHeading"/>
      </w:pPr>
      <w:r w:rsidRPr="00A14A51">
        <w:t>HLTPAT004 Collect pathology specimens other than blood</w:t>
      </w:r>
    </w:p>
    <w:p w:rsidR="00000000" w:rsidRPr="00A14A51" w:rsidP="00A14A51">
      <w:pPr>
        <w:pStyle w:val="Heading1"/>
      </w:pPr>
      <w:bookmarkStart w:id="1" w:name="O_657061"/>
      <w:bookmarkEnd w:id="1"/>
      <w:r w:rsidRPr="00A14A51">
        <w:t>Modification History</w:t>
      </w:r>
    </w:p>
    <w:tbl>
      <w:tblPr>
        <w:tblW w:w="0" w:type="auto"/>
        <w:tblLayout w:type="fixed"/>
        <w:tblCellMar>
          <w:left w:w="62" w:type="dxa"/>
          <w:right w:w="62" w:type="dxa"/>
        </w:tblCellMar>
        <w:tblLook w:val="0000"/>
      </w:tblPr>
      <w:tblGrid>
        <w:gridCol w:w="2790"/>
        <w:gridCol w:w="6344"/>
      </w:tblGrid>
      <w:tr w:rsidTr="00A14A5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A51" w:rsidP="00A14A51">
            <w:pPr>
              <w:pStyle w:val="BodyText"/>
            </w:pPr>
            <w:r w:rsidRPr="00A14A5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A51">
            <w:pPr>
              <w:pStyle w:val="BodyText"/>
              <w:rPr>
                <w:lang w:val="en-NZ"/>
              </w:rPr>
            </w:pPr>
            <w:r w:rsidRPr="00A14A51">
              <w:rPr>
                <w:rStyle w:val="SpecialBold"/>
              </w:rPr>
              <w:t>Comments</w:t>
            </w:r>
          </w:p>
        </w:tc>
      </w:tr>
      <w:tr w:rsidTr="00A14A5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A51">
            <w:pPr>
              <w:pStyle w:val="BodyText"/>
              <w:rPr>
                <w:lang w:val="en-NZ"/>
              </w:rPr>
            </w:pPr>
            <w:r w:rsidRPr="00A14A5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A51" w:rsidP="00A14A51">
            <w:pPr>
              <w:pStyle w:val="BodyText"/>
            </w:pPr>
            <w:r w:rsidRPr="00A14A51">
              <w:t xml:space="preserve">This version was released in </w:t>
            </w:r>
            <w:r w:rsidRPr="00A14A51">
              <w:rPr>
                <w:rStyle w:val="Emphasis"/>
              </w:rPr>
              <w:t>HLT Health Training Package release 2.0</w:t>
            </w:r>
            <w:r w:rsidRPr="00A14A51">
              <w:t xml:space="preserve"> and meets the requirements of the 2012 Standards for Training Packages.</w:t>
            </w:r>
          </w:p>
          <w:p w:rsidR="00000000" w:rsidRPr="00A14A51" w:rsidP="00A14A51">
            <w:pPr>
              <w:pStyle w:val="BodyText"/>
            </w:pPr>
            <w:r w:rsidRPr="00A14A51">
              <w:t xml:space="preserve">Merged HLTPAT304/410. Significant changes to the </w:t>
            </w:r>
            <w:r w:rsidRPr="00A14A51">
              <w:t>elements and performance criteria. New evidence requirements for assessment, including volume and frequency requirements. Significant change to knowledge evidence. Removed prerequisite.</w:t>
            </w:r>
          </w:p>
        </w:tc>
      </w:tr>
    </w:tbl>
    <w:p w:rsidR="00C33A0A" w:rsidP="00A14A51">
      <w:pPr>
        <w:pStyle w:val="BodyText"/>
      </w:pPr>
    </w:p>
    <w:p w:rsidR="00C33A0A" w:rsidP="00A14A51">
      <w:pPr>
        <w:pStyle w:val="BodyText"/>
      </w:pPr>
    </w:p>
    <w:p w:rsidR="00000000" w:rsidRPr="00A14A51" w:rsidP="00A14A51">
      <w:pPr>
        <w:pStyle w:val="Heading1"/>
      </w:pPr>
      <w:bookmarkStart w:id="2" w:name="O_657062"/>
      <w:bookmarkEnd w:id="2"/>
      <w:r w:rsidRPr="00A14A51">
        <w:t>Application</w:t>
      </w:r>
    </w:p>
    <w:p w:rsidR="00000000" w:rsidRPr="00A14A51" w:rsidP="00C33A0A">
      <w:pPr>
        <w:pStyle w:val="BodyText"/>
      </w:pPr>
      <w:r w:rsidRPr="00A14A51">
        <w:t>This unit describes the skills and kno</w:t>
      </w:r>
      <w:r w:rsidRPr="00A14A51">
        <w:t>wledge required to confirm collection requirements, prepare client and equipment and make routine pathology specimen collections.</w:t>
      </w:r>
    </w:p>
    <w:p w:rsidR="00000000" w:rsidRPr="00A14A51" w:rsidP="00C33A0A">
      <w:pPr>
        <w:pStyle w:val="BodyText"/>
      </w:pPr>
      <w:r w:rsidRPr="00A14A51">
        <w:t>This unit applies to any individual for whom specimen collection is part of the job role. They may be working in collection c</w:t>
      </w:r>
      <w:r w:rsidRPr="00A14A51">
        <w:t>entres, in hospitals or in other health care environments.</w:t>
      </w:r>
    </w:p>
    <w:p w:rsidR="00000000" w:rsidRPr="00C33A0A" w:rsidP="00C33A0A">
      <w:pPr>
        <w:pStyle w:val="BodyText"/>
        <w:rPr>
          <w:i/>
        </w:rPr>
      </w:pPr>
      <w:r w:rsidRPr="00C33A0A">
        <w:rPr>
          <w:rStyle w:val="Emphasis"/>
        </w:rPr>
        <w:t>The skills in this unit must be applied in accordance with Commonwealth and State/Territory legislation, Australia /New Zealand standards and industry codes of practice.</w:t>
      </w:r>
    </w:p>
    <w:p w:rsidR="00000000" w:rsidRPr="00A14A51" w:rsidP="00A14A51">
      <w:pPr>
        <w:pStyle w:val="Heading1"/>
      </w:pPr>
      <w:bookmarkStart w:id="3" w:name="O_657066"/>
      <w:bookmarkEnd w:id="3"/>
      <w:r w:rsidRPr="00A14A51">
        <w:t xml:space="preserve">Elements </w:t>
      </w:r>
      <w:r w:rsidRPr="00A14A51">
        <w:t>and Performance Criteria</w:t>
      </w:r>
    </w:p>
    <w:tbl>
      <w:tblPr>
        <w:tblW w:w="0" w:type="auto"/>
        <w:tblLayout w:type="fixed"/>
        <w:tblCellMar>
          <w:left w:w="62" w:type="dxa"/>
          <w:right w:w="62" w:type="dxa"/>
        </w:tblCellMar>
        <w:tblLook w:val="0000"/>
      </w:tblPr>
      <w:tblGrid>
        <w:gridCol w:w="3261"/>
        <w:gridCol w:w="5702"/>
      </w:tblGrid>
      <w:tr w:rsidTr="00A14A5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14A51" w:rsidP="00A14A51">
            <w:pPr>
              <w:pStyle w:val="BodyText"/>
            </w:pPr>
            <w:r w:rsidRPr="00A14A5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14A51">
            <w:pPr>
              <w:pStyle w:val="BodyText"/>
              <w:rPr>
                <w:lang w:val="en-NZ"/>
              </w:rPr>
            </w:pPr>
            <w:r w:rsidRPr="00A14A51">
              <w:rPr>
                <w:rStyle w:val="SpecialBold"/>
              </w:rPr>
              <w:t>PERFORMANCE CRITERIA</w:t>
            </w:r>
          </w:p>
        </w:tc>
      </w:tr>
      <w:tr w:rsidTr="00A14A5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14A51" w:rsidP="00A14A51">
            <w:pPr>
              <w:pStyle w:val="BodyText"/>
            </w:pPr>
            <w:r w:rsidRPr="00A14A51">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A14A51">
            <w:pPr>
              <w:pStyle w:val="BodyText"/>
              <w:rPr>
                <w:lang w:val="en-NZ"/>
              </w:rPr>
            </w:pPr>
            <w:r w:rsidRPr="00A14A51">
              <w:rPr>
                <w:rStyle w:val="Emphasis"/>
              </w:rPr>
              <w:t>Performance criteria describe the performance needed to demonstrate achievement of the element.</w:t>
            </w:r>
          </w:p>
        </w:tc>
      </w:tr>
      <w:tr w:rsidTr="00A14A5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14A51">
            <w:pPr>
              <w:pStyle w:val="BodyText"/>
              <w:rPr>
                <w:lang w:val="en-NZ"/>
              </w:rPr>
            </w:pPr>
            <w:r w:rsidRPr="00A14A51">
              <w:t>1. Confirm collection requirements</w:t>
            </w:r>
          </w:p>
        </w:tc>
        <w:tc>
          <w:tcPr>
            <w:tcW w:w="5702" w:type="dxa"/>
            <w:tcBorders>
              <w:top w:val="nil"/>
              <w:left w:val="nil"/>
              <w:bottom w:val="nil"/>
              <w:right w:val="nil"/>
            </w:tcBorders>
            <w:tcMar>
              <w:top w:w="0" w:type="dxa"/>
              <w:left w:w="62" w:type="dxa"/>
              <w:bottom w:w="0" w:type="dxa"/>
              <w:right w:w="62" w:type="dxa"/>
            </w:tcMar>
          </w:tcPr>
          <w:p w:rsidR="00000000" w:rsidRPr="00A14A51" w:rsidP="00A14A51">
            <w:pPr>
              <w:pStyle w:val="BodyText"/>
            </w:pPr>
            <w:r w:rsidRPr="00A14A51">
              <w:t>1.1 Gr</w:t>
            </w:r>
            <w:r w:rsidRPr="00A14A51">
              <w:t>eet client courteously and identify self</w:t>
            </w:r>
          </w:p>
          <w:p w:rsidR="00000000" w:rsidRPr="00A14A51" w:rsidP="00A14A51">
            <w:pPr>
              <w:pStyle w:val="BodyText"/>
            </w:pPr>
            <w:r w:rsidRPr="00A14A51">
              <w:t>1.2 Identify client following organisation and regulatory procedures</w:t>
            </w:r>
          </w:p>
          <w:p w:rsidR="00000000" w:rsidRPr="00A14A51" w:rsidP="00A14A51">
            <w:pPr>
              <w:pStyle w:val="BodyText"/>
            </w:pPr>
            <w:r w:rsidRPr="00A14A51">
              <w:t>1.3 Confirm that client meets pre-testing criteria for required collection</w:t>
            </w:r>
          </w:p>
          <w:p w:rsidR="00000000" w:rsidRPr="00A14A51" w:rsidP="00A14A51">
            <w:pPr>
              <w:pStyle w:val="BodyText"/>
            </w:pPr>
            <w:r w:rsidRPr="00A14A51">
              <w:t>1.4 Obtain, interpret and accurately record personal and clinical infor</w:t>
            </w:r>
            <w:r w:rsidRPr="00A14A51">
              <w:t>mation in accordance with organisation policies and procedures</w:t>
            </w:r>
          </w:p>
          <w:p w:rsidR="00000000" w:rsidRPr="00A14A51" w:rsidP="00A14A51">
            <w:pPr>
              <w:pStyle w:val="BodyText"/>
            </w:pPr>
            <w:r w:rsidRPr="00A14A51">
              <w:t>1.5 Explain collection procedure to client</w:t>
            </w:r>
          </w:p>
          <w:p w:rsidR="00000000" w:rsidP="00A14A51">
            <w:pPr>
              <w:pStyle w:val="BodyText"/>
              <w:rPr>
                <w:lang w:val="en-NZ"/>
              </w:rPr>
            </w:pPr>
            <w:r w:rsidRPr="00A14A51">
              <w:t>1.6 Obtain consent for collection procedure from client</w:t>
            </w:r>
          </w:p>
        </w:tc>
      </w:tr>
      <w:tr w:rsidTr="00A14A5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14A51">
            <w:pPr>
              <w:pStyle w:val="BodyText"/>
              <w:rPr>
                <w:lang w:val="en-NZ"/>
              </w:rPr>
            </w:pPr>
          </w:p>
        </w:tc>
      </w:tr>
      <w:tr w:rsidTr="00A14A5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A14A51" w:rsidP="00A14A51">
            <w:pPr>
              <w:pStyle w:val="BodyText"/>
            </w:pPr>
            <w:r w:rsidRPr="00A14A51">
              <w:t>2. Prepare for collection procedure</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14A51" w:rsidP="00A14A51">
            <w:pPr>
              <w:pStyle w:val="BodyText"/>
            </w:pPr>
            <w:r w:rsidRPr="00A14A51">
              <w:t>2.1 Confirm method of collection based on correct interpretation of clinical request and organisation requirements</w:t>
            </w:r>
          </w:p>
          <w:p w:rsidR="00000000" w:rsidRPr="00A14A51" w:rsidP="00A14A51">
            <w:pPr>
              <w:pStyle w:val="BodyText"/>
            </w:pPr>
            <w:r w:rsidRPr="00A14A51">
              <w:t>2.2 Select equipment and prepare following organisation procedures</w:t>
            </w:r>
          </w:p>
          <w:p w:rsidR="00000000" w:rsidRPr="00A14A51" w:rsidP="00A14A51">
            <w:pPr>
              <w:pStyle w:val="BodyText"/>
            </w:pPr>
            <w:r w:rsidRPr="00A14A51">
              <w:t>2.3 Position client appropriately to ensure comfort and safety of both cli</w:t>
            </w:r>
            <w:r w:rsidRPr="00A14A51">
              <w:t>ent and collector</w:t>
            </w:r>
          </w:p>
          <w:p w:rsidR="00000000" w:rsidP="00A14A51">
            <w:pPr>
              <w:pStyle w:val="BodyText"/>
              <w:rPr>
                <w:lang w:val="en-NZ"/>
              </w:rPr>
            </w:pPr>
            <w:r w:rsidRPr="00A14A51">
              <w:t>2.4 Identify when assistance may be needed and seek help if required</w:t>
            </w:r>
          </w:p>
        </w:tc>
      </w:tr>
      <w:tr w:rsidTr="00A14A5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14A51">
            <w:pPr>
              <w:pStyle w:val="BodyText"/>
              <w:rPr>
                <w:lang w:val="en-NZ"/>
              </w:rPr>
            </w:pPr>
          </w:p>
        </w:tc>
      </w:tr>
      <w:tr w:rsidTr="00A14A5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14A51">
            <w:pPr>
              <w:pStyle w:val="BodyText"/>
              <w:rPr>
                <w:lang w:val="en-NZ"/>
              </w:rPr>
            </w:pPr>
            <w:r w:rsidRPr="00A14A51">
              <w:t xml:space="preserve">3. Collect specimen </w:t>
            </w:r>
          </w:p>
        </w:tc>
        <w:tc>
          <w:tcPr>
            <w:tcW w:w="5702" w:type="dxa"/>
            <w:tcBorders>
              <w:top w:val="nil"/>
              <w:left w:val="nil"/>
              <w:bottom w:val="nil"/>
              <w:right w:val="nil"/>
            </w:tcBorders>
            <w:tcMar>
              <w:top w:w="0" w:type="dxa"/>
              <w:left w:w="62" w:type="dxa"/>
              <w:bottom w:w="0" w:type="dxa"/>
              <w:right w:w="62" w:type="dxa"/>
            </w:tcMar>
          </w:tcPr>
          <w:p w:rsidR="00000000" w:rsidRPr="00A14A51" w:rsidP="00A14A51">
            <w:pPr>
              <w:pStyle w:val="BodyText"/>
            </w:pPr>
            <w:r w:rsidRPr="00A14A51">
              <w:t>3.1 Adopt standard and additional infection control guidelines and precautions according to organisation documented procedure</w:t>
            </w:r>
          </w:p>
          <w:p w:rsidR="00000000" w:rsidRPr="00A14A51" w:rsidP="00A14A51">
            <w:pPr>
              <w:pStyle w:val="BodyText"/>
            </w:pPr>
            <w:r w:rsidRPr="00A14A51">
              <w:t>3.2 Follow documen</w:t>
            </w:r>
            <w:r w:rsidRPr="00A14A51">
              <w:t>ted procedures for collection of sample</w:t>
            </w:r>
          </w:p>
          <w:p w:rsidR="00000000" w:rsidRPr="00A14A51" w:rsidP="00A14A51">
            <w:pPr>
              <w:pStyle w:val="BodyText"/>
            </w:pPr>
            <w:r w:rsidRPr="00A14A51">
              <w:t>3.3 Use collection and clinical equipment appropriately and safely to avoid contamination of sample</w:t>
            </w:r>
          </w:p>
          <w:p w:rsidR="00000000" w:rsidP="00A14A51">
            <w:pPr>
              <w:pStyle w:val="BodyText"/>
              <w:rPr>
                <w:lang w:val="en-NZ"/>
              </w:rPr>
            </w:pPr>
            <w:r w:rsidRPr="00A14A51">
              <w:t>3.4 Observe client during and after collection for potential adverse effects and respond according to procedure</w:t>
            </w:r>
          </w:p>
        </w:tc>
      </w:tr>
      <w:tr w:rsidTr="00A14A5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14A51">
            <w:pPr>
              <w:pStyle w:val="BodyText"/>
              <w:rPr>
                <w:lang w:val="en-NZ"/>
              </w:rPr>
            </w:pPr>
          </w:p>
        </w:tc>
      </w:tr>
      <w:tr w:rsidTr="00A14A5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14A51">
            <w:pPr>
              <w:pStyle w:val="BodyText"/>
              <w:rPr>
                <w:lang w:val="en-NZ"/>
              </w:rPr>
            </w:pPr>
            <w:r w:rsidRPr="00A14A51">
              <w:t>4. Follow post collection procedures</w:t>
            </w:r>
          </w:p>
        </w:tc>
        <w:tc>
          <w:tcPr>
            <w:tcW w:w="5702" w:type="dxa"/>
            <w:tcBorders>
              <w:top w:val="nil"/>
              <w:left w:val="nil"/>
              <w:bottom w:val="nil"/>
              <w:right w:val="nil"/>
            </w:tcBorders>
            <w:tcMar>
              <w:top w:w="0" w:type="dxa"/>
              <w:left w:w="62" w:type="dxa"/>
              <w:bottom w:w="0" w:type="dxa"/>
              <w:right w:w="62" w:type="dxa"/>
            </w:tcMar>
          </w:tcPr>
          <w:p w:rsidR="00000000" w:rsidRPr="00A14A51" w:rsidP="00A14A51">
            <w:pPr>
              <w:pStyle w:val="BodyText"/>
            </w:pPr>
            <w:r w:rsidRPr="00A14A51">
              <w:t xml:space="preserve">4.1 Dispose of waste in accordance with infection control protocols and organisation policies and procedures </w:t>
            </w:r>
          </w:p>
          <w:p w:rsidR="00000000" w:rsidRPr="00A14A51" w:rsidP="00A14A51">
            <w:pPr>
              <w:pStyle w:val="BodyText"/>
            </w:pPr>
            <w:r w:rsidRPr="00A14A51">
              <w:t>4.2 Accurately label sample in front of client with time and date of collection, client details and other req</w:t>
            </w:r>
            <w:r w:rsidRPr="00A14A51">
              <w:t>uired information following regulatory and organisational guidelines</w:t>
            </w:r>
          </w:p>
          <w:p w:rsidR="00000000" w:rsidRPr="00A14A51" w:rsidP="00A14A51">
            <w:pPr>
              <w:pStyle w:val="BodyText"/>
            </w:pPr>
            <w:r w:rsidRPr="00A14A51">
              <w:t>4.3 Confirm information accuracy with client</w:t>
            </w:r>
          </w:p>
          <w:p w:rsidR="00000000" w:rsidRPr="00A14A51" w:rsidP="00A14A51">
            <w:pPr>
              <w:pStyle w:val="BodyText"/>
            </w:pPr>
            <w:r w:rsidRPr="00A14A51">
              <w:t>4.4 Complete other collection documentation in accordance with organisation procedures</w:t>
            </w:r>
          </w:p>
          <w:p w:rsidR="00000000" w:rsidRPr="00A14A51" w:rsidP="00A14A51">
            <w:pPr>
              <w:pStyle w:val="BodyText"/>
            </w:pPr>
            <w:r w:rsidRPr="00A14A51">
              <w:t>4.5 Prepare collected samples for transit or store</w:t>
            </w:r>
            <w:r w:rsidRPr="00A14A51">
              <w:rPr>
                <w:rStyle w:val="Emphasis"/>
              </w:rPr>
              <w:t xml:space="preserve"> </w:t>
            </w:r>
            <w:r w:rsidRPr="00A14A51">
              <w:t xml:space="preserve">according to test and organisational requirements </w:t>
            </w:r>
          </w:p>
        </w:tc>
      </w:tr>
    </w:tbl>
    <w:p w:rsidR="00C33A0A" w:rsidP="00A14A51">
      <w:pPr>
        <w:pStyle w:val="ListContinue"/>
      </w:pPr>
    </w:p>
    <w:p w:rsidR="00C33A0A" w:rsidP="00A14A51">
      <w:pPr>
        <w:pStyle w:val="ListContinue"/>
      </w:pPr>
    </w:p>
    <w:p w:rsidR="00000000" w:rsidRPr="00A14A51" w:rsidP="00A14A51">
      <w:pPr>
        <w:pStyle w:val="Heading1"/>
      </w:pPr>
      <w:bookmarkStart w:id="4" w:name="O_657067"/>
      <w:bookmarkEnd w:id="4"/>
      <w:r w:rsidRPr="00A14A51">
        <w:t>Foundation Skills</w:t>
      </w:r>
    </w:p>
    <w:tbl>
      <w:tblPr>
        <w:tblW w:w="0" w:type="auto"/>
        <w:tblLayout w:type="fixed"/>
        <w:tblCellMar>
          <w:left w:w="62" w:type="dxa"/>
          <w:right w:w="62" w:type="dxa"/>
        </w:tblCellMar>
        <w:tblLook w:val="0000"/>
      </w:tblPr>
      <w:tblGrid>
        <w:gridCol w:w="8964"/>
      </w:tblGrid>
      <w:tr w:rsidTr="00A14A5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A14A51">
            <w:pPr>
              <w:pStyle w:val="BodyText"/>
              <w:rPr>
                <w:lang w:val="en-NZ"/>
              </w:rPr>
            </w:pPr>
            <w:r w:rsidRPr="00A14A51">
              <w:rPr>
                <w:rStyle w:val="Emphasis"/>
              </w:rPr>
              <w:t xml:space="preserve">The Foundation Skills describe those required skills (language, literacy, numeracy and employment </w:t>
            </w:r>
            <w:r w:rsidRPr="00A14A51">
              <w:t xml:space="preserve">skills) that are essential </w:t>
            </w:r>
            <w:r w:rsidRPr="00A14A51">
              <w:rPr>
                <w:rStyle w:val="Emphasis"/>
              </w:rPr>
              <w:t>to performance.</w:t>
            </w:r>
          </w:p>
        </w:tc>
      </w:tr>
      <w:tr w:rsidTr="00A14A5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A14A51" w:rsidP="00A14A51">
            <w:pPr>
              <w:pStyle w:val="BodyText"/>
            </w:pPr>
          </w:p>
          <w:p w:rsidR="00000000" w:rsidRPr="00A14A51" w:rsidP="00A14A51">
            <w:pPr>
              <w:pStyle w:val="BodyText"/>
            </w:pPr>
            <w:r w:rsidRPr="00A14A51">
              <w:t>Foundation skills essential to performance are explicit in the performance criteria of this unit of competency.</w:t>
            </w:r>
          </w:p>
        </w:tc>
      </w:tr>
    </w:tbl>
    <w:p w:rsidR="00C33A0A" w:rsidP="00A14A51">
      <w:pPr>
        <w:pStyle w:val="BodyText"/>
      </w:pPr>
    </w:p>
    <w:p w:rsidR="00C33A0A" w:rsidP="00A14A51">
      <w:pPr>
        <w:pStyle w:val="BodyText"/>
      </w:pPr>
    </w:p>
    <w:p w:rsidR="00000000" w:rsidRPr="00A14A51" w:rsidP="00A14A51">
      <w:pPr>
        <w:pStyle w:val="Heading1"/>
      </w:pPr>
      <w:bookmarkStart w:id="5" w:name="O_657069"/>
      <w:bookmarkEnd w:id="5"/>
      <w:r w:rsidRPr="00A14A51">
        <w:t>Unit Mapping Information</w:t>
      </w:r>
    </w:p>
    <w:p w:rsidR="00000000" w:rsidRPr="00A14A51" w:rsidP="00C33A0A">
      <w:pPr>
        <w:pStyle w:val="BodyText"/>
      </w:pPr>
      <w:r w:rsidRPr="00A14A51">
        <w:t xml:space="preserve">No equivalent unit. </w:t>
      </w:r>
    </w:p>
    <w:p w:rsidR="00000000" w:rsidRPr="00A14A51" w:rsidP="00A14A51">
      <w:pPr>
        <w:pStyle w:val="Heading1"/>
      </w:pPr>
      <w:bookmarkStart w:id="6" w:name="O_657076"/>
      <w:bookmarkEnd w:id="6"/>
      <w:r w:rsidRPr="00A14A51">
        <w:t>Links</w:t>
      </w:r>
    </w:p>
    <w:p w:rsidR="00000000" w:rsidRPr="00A14A51" w:rsidP="00C33A0A">
      <w:pPr>
        <w:pStyle w:val="BodyText"/>
      </w:pPr>
      <w:r w:rsidRPr="00A14A51">
        <w:t>Companion Volume implementation guides are found in VET</w:t>
      </w:r>
      <w:r w:rsidRPr="00A14A51">
        <w:t xml:space="preserve">Net - </w:t>
      </w:r>
      <w:r>
        <w:fldChar w:fldCharType="begin"/>
      </w:r>
      <w:r>
        <w:instrText xml:space="preserve"> HYPERLINK "https://vetnet.gov.au/Pages/TrainingDocs.aspx?q=ced1390f-48d9-4ab0-bd50-b015e5485705" </w:instrText>
      </w:r>
      <w:r>
        <w:fldChar w:fldCharType="separate"/>
      </w:r>
      <w:r w:rsidRPr="006B72E5">
        <w:rPr>
          <w:rStyle w:val="Hyperlink"/>
        </w:rPr>
        <w:t>https://vetnet.gov.au/Pages/TrainingDocs.aspx?q=ced1390f-48d9-4ab0-bd50-b015e5485705</w:t>
      </w:r>
      <w:r>
        <w:fldChar w:fldCharType="end"/>
      </w:r>
    </w:p>
    <w:p w:rsidR="00000000" w:rsidRPr="00A14A51" w:rsidP="00C33A0A">
      <w:pPr>
        <w:pStyle w:val="BodyText"/>
        <w:sectPr w:rsidSect="00A14A51">
          <w:headerReference w:type="default" r:id="rId10"/>
          <w:footerReference w:type="default" r:id="rId11"/>
          <w:pgSz w:w="11908" w:h="16833"/>
          <w:pgMar w:top="1702" w:right="1418" w:bottom="1702" w:left="1418" w:header="992" w:footer="992" w:gutter="0"/>
          <w:cols w:space="720"/>
          <w:noEndnote/>
          <w:docGrid w:linePitch="299"/>
        </w:sectPr>
      </w:pPr>
    </w:p>
    <w:p w:rsidR="00000000" w:rsidRPr="00A14A51" w:rsidP="00A14A51">
      <w:pPr>
        <w:pStyle w:val="SuperHeading"/>
      </w:pPr>
      <w:r w:rsidRPr="00A14A51">
        <w:t>Assessment Requirements for HLTPAT004 Collect pathology specimens other than blood</w:t>
      </w:r>
    </w:p>
    <w:p w:rsidR="00000000" w:rsidRPr="00A14A51" w:rsidP="00A14A51">
      <w:pPr>
        <w:pStyle w:val="Heading1"/>
      </w:pPr>
      <w:bookmarkStart w:id="7" w:name="O_657071"/>
      <w:bookmarkEnd w:id="7"/>
      <w:r w:rsidRPr="00A14A51">
        <w:t>Modification Histor</w:t>
      </w:r>
      <w:r w:rsidRPr="00A14A51">
        <w:t>y</w:t>
      </w:r>
    </w:p>
    <w:tbl>
      <w:tblPr>
        <w:tblW w:w="0" w:type="auto"/>
        <w:tblLayout w:type="fixed"/>
        <w:tblCellMar>
          <w:left w:w="62" w:type="dxa"/>
          <w:right w:w="62" w:type="dxa"/>
        </w:tblCellMar>
        <w:tblLook w:val="0000"/>
      </w:tblPr>
      <w:tblGrid>
        <w:gridCol w:w="2790"/>
        <w:gridCol w:w="6344"/>
      </w:tblGrid>
      <w:tr w:rsidTr="00A14A5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A51" w:rsidP="00A14A51">
            <w:pPr>
              <w:pStyle w:val="BodyText"/>
            </w:pPr>
            <w:r w:rsidRPr="00A14A5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A51">
            <w:pPr>
              <w:pStyle w:val="BodyText"/>
              <w:rPr>
                <w:lang w:val="en-NZ"/>
              </w:rPr>
            </w:pPr>
            <w:r w:rsidRPr="00A14A51">
              <w:rPr>
                <w:rStyle w:val="SpecialBold"/>
              </w:rPr>
              <w:t>Comments</w:t>
            </w:r>
          </w:p>
        </w:tc>
      </w:tr>
      <w:tr w:rsidTr="00A14A5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A51">
            <w:pPr>
              <w:pStyle w:val="BodyText"/>
              <w:rPr>
                <w:lang w:val="en-NZ"/>
              </w:rPr>
            </w:pPr>
            <w:r w:rsidRPr="00A14A5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A51" w:rsidP="00A14A51">
            <w:pPr>
              <w:pStyle w:val="BodyText"/>
            </w:pPr>
            <w:r w:rsidRPr="00A14A51">
              <w:t xml:space="preserve">This version was released in </w:t>
            </w:r>
            <w:r w:rsidRPr="00A14A51">
              <w:rPr>
                <w:rStyle w:val="Emphasis"/>
              </w:rPr>
              <w:t>HLT Health Training Package release 2.0</w:t>
            </w:r>
            <w:r w:rsidRPr="00A14A51">
              <w:t xml:space="preserve"> and meets the requirements of the 2012 Standards for Training Packages.</w:t>
            </w:r>
          </w:p>
          <w:p w:rsidR="00000000" w:rsidRPr="00A14A51" w:rsidP="00A14A51">
            <w:pPr>
              <w:pStyle w:val="BodyText"/>
            </w:pPr>
            <w:r w:rsidRPr="00A14A51">
              <w:t>Merged HLTPAT304/410. Significant changes to the elements and performance criteria. New evidence requirements for assessment, including volume and frequency requirements. Significant change to knowledge evidence. Removed prerequisite.</w:t>
            </w:r>
          </w:p>
        </w:tc>
      </w:tr>
    </w:tbl>
    <w:p w:rsidR="00C33A0A" w:rsidP="00A14A51">
      <w:pPr>
        <w:pStyle w:val="BodyText"/>
      </w:pPr>
    </w:p>
    <w:p w:rsidR="00C33A0A" w:rsidP="00A14A51">
      <w:pPr>
        <w:pStyle w:val="BodyText"/>
      </w:pPr>
    </w:p>
    <w:p w:rsidR="00000000" w:rsidRPr="00A14A51" w:rsidP="00A14A51">
      <w:pPr>
        <w:pStyle w:val="Heading1"/>
      </w:pPr>
      <w:bookmarkStart w:id="8" w:name="O_657072"/>
      <w:bookmarkEnd w:id="8"/>
      <w:r w:rsidRPr="00A14A51">
        <w:t>P</w:t>
      </w:r>
      <w:r w:rsidRPr="00A14A51">
        <w:t>erformance Evidence</w:t>
      </w:r>
    </w:p>
    <w:p w:rsidR="00000000" w:rsidRPr="00A14A51" w:rsidP="00C33A0A">
      <w:pPr>
        <w:pStyle w:val="BodyText"/>
      </w:pPr>
      <w:r w:rsidRPr="00A14A51">
        <w:t>The candidate must show evidence of the ability to complete tasks outlined in elements and performance criteria of this unit, manage tasks and manage contingencies in the context of the job role. There must be evidence that the candidat</w:t>
      </w:r>
      <w:r w:rsidRPr="00A14A51">
        <w:t>e has:</w:t>
      </w:r>
    </w:p>
    <w:p w:rsidR="00000000" w:rsidRPr="00A14A51" w:rsidP="00A14A51">
      <w:pPr>
        <w:pStyle w:val="ListBullet"/>
      </w:pPr>
      <w:r w:rsidRPr="00A14A51">
        <w:t xml:space="preserve">followed established technical, infection control and safety procedures for a minimum of 5 different specimen types selected from the following: </w:t>
      </w:r>
    </w:p>
    <w:p w:rsidR="00000000" w:rsidRPr="00A14A51" w:rsidP="00A14A51">
      <w:pPr>
        <w:pStyle w:val="ListBullet2"/>
      </w:pPr>
      <w:r w:rsidRPr="00A14A51">
        <w:t>aspirates</w:t>
      </w:r>
    </w:p>
    <w:p w:rsidR="00000000" w:rsidRPr="00A14A51" w:rsidP="00A14A51">
      <w:pPr>
        <w:pStyle w:val="ListBullet2"/>
      </w:pPr>
      <w:r w:rsidRPr="00A14A51">
        <w:t>breath</w:t>
      </w:r>
    </w:p>
    <w:p w:rsidR="00000000" w:rsidRPr="00A14A51" w:rsidP="00A14A51">
      <w:pPr>
        <w:pStyle w:val="ListBullet2"/>
      </w:pPr>
      <w:r w:rsidRPr="00A14A51">
        <w:t>DNA swabs</w:t>
      </w:r>
    </w:p>
    <w:p w:rsidR="00000000" w:rsidRPr="00A14A51" w:rsidP="00A14A51">
      <w:pPr>
        <w:pStyle w:val="ListBullet2"/>
      </w:pPr>
      <w:r w:rsidRPr="00A14A51">
        <w:t>nail clippings and/or scrapings</w:t>
      </w:r>
    </w:p>
    <w:p w:rsidR="00000000" w:rsidRPr="00A14A51" w:rsidP="00A14A51">
      <w:pPr>
        <w:pStyle w:val="ListBullet2"/>
      </w:pPr>
      <w:r w:rsidRPr="00A14A51">
        <w:t>saliva</w:t>
      </w:r>
    </w:p>
    <w:p w:rsidR="00000000" w:rsidRPr="00A14A51" w:rsidP="00A14A51">
      <w:pPr>
        <w:pStyle w:val="ListBullet2"/>
      </w:pPr>
      <w:r w:rsidRPr="00A14A51">
        <w:t>semen</w:t>
      </w:r>
    </w:p>
    <w:p w:rsidR="00000000" w:rsidRPr="00A14A51" w:rsidP="00A14A51">
      <w:pPr>
        <w:pStyle w:val="ListBullet2"/>
      </w:pPr>
      <w:r w:rsidRPr="00A14A51">
        <w:t>skin scrapings</w:t>
      </w:r>
    </w:p>
    <w:p w:rsidR="00000000" w:rsidRPr="00A14A51" w:rsidP="00A14A51">
      <w:pPr>
        <w:pStyle w:val="ListBullet2"/>
      </w:pPr>
      <w:r w:rsidRPr="00A14A51">
        <w:t>sputum</w:t>
      </w:r>
    </w:p>
    <w:p w:rsidR="00000000" w:rsidRPr="00A14A51" w:rsidP="00A14A51">
      <w:pPr>
        <w:pStyle w:val="ListBullet2"/>
      </w:pPr>
      <w:r w:rsidRPr="00A14A51">
        <w:t>stool</w:t>
      </w:r>
    </w:p>
    <w:p w:rsidR="00000000" w:rsidRPr="00A14A51" w:rsidP="00A14A51">
      <w:pPr>
        <w:pStyle w:val="ListBullet2"/>
      </w:pPr>
      <w:r w:rsidRPr="00A14A51">
        <w:t>swabs – bacterial, viral and PCR</w:t>
      </w:r>
    </w:p>
    <w:p w:rsidR="00000000" w:rsidRPr="00A14A51" w:rsidP="00A14A51">
      <w:pPr>
        <w:pStyle w:val="ListBullet2"/>
      </w:pPr>
      <w:r w:rsidRPr="00A14A51">
        <w:t xml:space="preserve">urine </w:t>
      </w:r>
    </w:p>
    <w:p w:rsidR="00000000" w:rsidRPr="00A14A51" w:rsidP="00A14A51">
      <w:pPr>
        <w:pStyle w:val="AllowPageBreak"/>
      </w:pPr>
    </w:p>
    <w:p w:rsidR="00000000" w:rsidRPr="00A14A51" w:rsidP="00A14A51">
      <w:pPr>
        <w:pStyle w:val="Heading1"/>
      </w:pPr>
      <w:bookmarkStart w:id="9" w:name="O_657073"/>
      <w:bookmarkEnd w:id="9"/>
      <w:r w:rsidRPr="00A14A51">
        <w:t>Knowledge Evidence</w:t>
      </w:r>
    </w:p>
    <w:p w:rsidR="00000000" w:rsidRPr="00A14A51" w:rsidP="00C33A0A">
      <w:pPr>
        <w:pStyle w:val="BodyText"/>
      </w:pPr>
      <w:r w:rsidRPr="00A14A51">
        <w:t>The candidate must be able to demonstrate essential knowledge required to effectively complete tasks outlined in elements and performance criteria of this unit, manage tasks and ma</w:t>
      </w:r>
      <w:r w:rsidRPr="00A14A51">
        <w:t>nage contingencies in the context of the work role. This includes knowledge of:</w:t>
      </w:r>
    </w:p>
    <w:p w:rsidR="00000000" w:rsidRPr="00A14A51" w:rsidP="00A14A51">
      <w:pPr>
        <w:pStyle w:val="ListBullet"/>
      </w:pPr>
      <w:r w:rsidRPr="00A14A51">
        <w:t>legal and ethical considerations for pathology collection, and how these are applied in organisations:</w:t>
      </w:r>
    </w:p>
    <w:p w:rsidR="00000000" w:rsidRPr="00A14A51" w:rsidP="00A14A51">
      <w:pPr>
        <w:pStyle w:val="ListBullet2"/>
      </w:pPr>
      <w:r w:rsidRPr="00A14A51">
        <w:t>children in the workplace</w:t>
      </w:r>
    </w:p>
    <w:p w:rsidR="00000000" w:rsidRPr="00A14A51" w:rsidP="00A14A51">
      <w:pPr>
        <w:pStyle w:val="ListBullet2"/>
      </w:pPr>
      <w:r w:rsidRPr="00A14A51">
        <w:t>duty of care</w:t>
      </w:r>
    </w:p>
    <w:p w:rsidR="00000000" w:rsidRPr="00A14A51" w:rsidP="00A14A51">
      <w:pPr>
        <w:pStyle w:val="ListBullet2"/>
      </w:pPr>
      <w:r w:rsidRPr="00A14A51">
        <w:t xml:space="preserve">informed consent </w:t>
      </w:r>
    </w:p>
    <w:p w:rsidR="00000000" w:rsidRPr="00A14A51" w:rsidP="00A14A51">
      <w:pPr>
        <w:pStyle w:val="ListBullet2"/>
      </w:pPr>
      <w:r w:rsidRPr="00A14A51">
        <w:t>mandatory reporting</w:t>
      </w:r>
    </w:p>
    <w:p w:rsidR="00000000" w:rsidRPr="00A14A51" w:rsidP="00A14A51">
      <w:pPr>
        <w:pStyle w:val="ListBullet2"/>
      </w:pPr>
      <w:r w:rsidRPr="00A14A51">
        <w:t>privacy, confidentiality and disclosure</w:t>
      </w:r>
    </w:p>
    <w:p w:rsidR="00000000" w:rsidRPr="00A14A51" w:rsidP="00A14A51">
      <w:pPr>
        <w:pStyle w:val="ListBullet2"/>
      </w:pPr>
      <w:r w:rsidRPr="00A14A51">
        <w:t>records management</w:t>
      </w:r>
    </w:p>
    <w:p w:rsidR="00000000" w:rsidRPr="00A14A51" w:rsidP="00A14A51">
      <w:pPr>
        <w:pStyle w:val="ListBullet2"/>
      </w:pPr>
      <w:r w:rsidRPr="00A14A51">
        <w:t>work role boundaries</w:t>
      </w:r>
    </w:p>
    <w:p w:rsidR="00000000" w:rsidRPr="00A14A51" w:rsidP="00A14A51">
      <w:pPr>
        <w:pStyle w:val="ListBullet3"/>
      </w:pPr>
      <w:r w:rsidRPr="00A14A51">
        <w:t xml:space="preserve">boundaries of responsibilities </w:t>
      </w:r>
    </w:p>
    <w:p w:rsidR="00000000" w:rsidRPr="00A14A51" w:rsidP="00A14A51">
      <w:pPr>
        <w:pStyle w:val="ListBullet3"/>
      </w:pPr>
      <w:r w:rsidRPr="00A14A51">
        <w:t>sources of non blood sample requests and interactions with other health services</w:t>
      </w:r>
    </w:p>
    <w:p w:rsidR="00000000" w:rsidRPr="00A14A51" w:rsidP="00A14A51">
      <w:pPr>
        <w:pStyle w:val="ListBullet2"/>
      </w:pPr>
      <w:r w:rsidRPr="00A14A51">
        <w:t>work health and safety</w:t>
      </w:r>
    </w:p>
    <w:p w:rsidR="00000000" w:rsidRPr="00A14A51" w:rsidP="00A14A51">
      <w:pPr>
        <w:pStyle w:val="ListBullet"/>
      </w:pPr>
      <w:r w:rsidRPr="00A14A51">
        <w:t>standard infection control requirements for clinical procedures:</w:t>
      </w:r>
    </w:p>
    <w:p w:rsidR="00000000" w:rsidRPr="00A14A51" w:rsidP="00A14A51">
      <w:pPr>
        <w:pStyle w:val="ListBullet2"/>
      </w:pPr>
      <w:r w:rsidRPr="00A14A51">
        <w:t>hand hygiene</w:t>
      </w:r>
    </w:p>
    <w:p w:rsidR="00000000" w:rsidRPr="00A14A51" w:rsidP="00A14A51">
      <w:pPr>
        <w:pStyle w:val="ListBullet2"/>
      </w:pPr>
      <w:r w:rsidRPr="00A14A51">
        <w:t>use of personal protective equipment (PPE)</w:t>
      </w:r>
    </w:p>
    <w:p w:rsidR="00000000" w:rsidRPr="00A14A51" w:rsidP="00A14A51">
      <w:pPr>
        <w:pStyle w:val="ListBullet2"/>
      </w:pPr>
      <w:r w:rsidRPr="00A14A51">
        <w:t>avoiding contact with bodily fluids</w:t>
      </w:r>
    </w:p>
    <w:p w:rsidR="00000000" w:rsidRPr="00A14A51" w:rsidP="00A14A51">
      <w:pPr>
        <w:pStyle w:val="ListBullet2"/>
      </w:pPr>
      <w:r w:rsidRPr="00A14A51">
        <w:t>sharps injury prevention and treatment if sustained</w:t>
      </w:r>
    </w:p>
    <w:p w:rsidR="00000000" w:rsidRPr="00A14A51" w:rsidP="00A14A51">
      <w:pPr>
        <w:pStyle w:val="ListBullet2"/>
      </w:pPr>
      <w:r w:rsidRPr="00A14A51">
        <w:t>waste disposal</w:t>
      </w:r>
    </w:p>
    <w:p w:rsidR="00000000" w:rsidRPr="00A14A51" w:rsidP="00A14A51">
      <w:pPr>
        <w:pStyle w:val="ListBullet"/>
      </w:pPr>
      <w:r w:rsidRPr="00A14A51">
        <w:t>industry terminology used in specimen collection:</w:t>
      </w:r>
    </w:p>
    <w:p w:rsidR="00000000" w:rsidRPr="00A14A51" w:rsidP="00A14A51">
      <w:pPr>
        <w:pStyle w:val="ListBullet2"/>
      </w:pPr>
      <w:r w:rsidRPr="00A14A51">
        <w:t>equipment</w:t>
      </w:r>
    </w:p>
    <w:p w:rsidR="00000000" w:rsidRPr="00A14A51" w:rsidP="00A14A51">
      <w:pPr>
        <w:pStyle w:val="ListBullet2"/>
      </w:pPr>
      <w:r w:rsidRPr="00A14A51">
        <w:t>procedures</w:t>
      </w:r>
    </w:p>
    <w:p w:rsidR="00000000" w:rsidRPr="00A14A51" w:rsidP="00A14A51">
      <w:pPr>
        <w:pStyle w:val="ListBullet2"/>
      </w:pPr>
      <w:r w:rsidRPr="00A14A51">
        <w:t>abbreviations</w:t>
      </w:r>
    </w:p>
    <w:p w:rsidR="00000000" w:rsidRPr="00A14A51" w:rsidP="00A14A51">
      <w:pPr>
        <w:pStyle w:val="ListBullet2"/>
      </w:pPr>
      <w:r w:rsidRPr="00A14A51">
        <w:t>medical terminology</w:t>
      </w:r>
    </w:p>
    <w:p w:rsidR="00000000" w:rsidRPr="00A14A51" w:rsidP="00A14A51">
      <w:pPr>
        <w:pStyle w:val="ListBullet"/>
      </w:pPr>
      <w:r w:rsidRPr="00A14A51">
        <w:t xml:space="preserve">key aspects of anatomy and physiology sufficient to make safe specimen collection </w:t>
      </w:r>
    </w:p>
    <w:p w:rsidR="00000000" w:rsidRPr="00A14A51" w:rsidP="00A14A51">
      <w:pPr>
        <w:pStyle w:val="ListBullet"/>
      </w:pPr>
      <w:r w:rsidRPr="00A14A51">
        <w:t>clinical risk factors in specimen collection and procedures design</w:t>
      </w:r>
      <w:r w:rsidRPr="00A14A51">
        <w:t>ed to minimise those risks for different specimen types</w:t>
      </w:r>
    </w:p>
    <w:p w:rsidR="00000000" w:rsidRPr="00A14A51" w:rsidP="00A14A51">
      <w:pPr>
        <w:pStyle w:val="ListBullet"/>
      </w:pPr>
      <w:r w:rsidRPr="00A14A51">
        <w:t>factors which may affect the chemical analysis of specimens and the impact on collection:</w:t>
      </w:r>
    </w:p>
    <w:p w:rsidR="00000000" w:rsidRPr="00A14A51" w:rsidP="00A14A51">
      <w:pPr>
        <w:pStyle w:val="ListBullet2"/>
      </w:pPr>
      <w:r w:rsidRPr="00A14A51">
        <w:t>appropriate times to collect</w:t>
      </w:r>
    </w:p>
    <w:p w:rsidR="00000000" w:rsidRPr="00A14A51" w:rsidP="00A14A51">
      <w:pPr>
        <w:pStyle w:val="ListBullet2"/>
      </w:pPr>
      <w:r w:rsidRPr="00A14A51">
        <w:t>timing of last dose</w:t>
      </w:r>
    </w:p>
    <w:p w:rsidR="00000000" w:rsidRPr="00A14A51" w:rsidP="00A14A51">
      <w:pPr>
        <w:pStyle w:val="ListBullet2"/>
      </w:pPr>
      <w:r w:rsidRPr="00A14A51">
        <w:t>required fasting times</w:t>
      </w:r>
    </w:p>
    <w:p w:rsidR="00000000" w:rsidRPr="00A14A51" w:rsidP="00A14A51">
      <w:pPr>
        <w:pStyle w:val="ListBullet2"/>
      </w:pPr>
      <w:r w:rsidRPr="00A14A51">
        <w:t>protecting the integrity of the specimen</w:t>
      </w:r>
    </w:p>
    <w:p w:rsidR="00000000" w:rsidRPr="00A14A51" w:rsidP="00A14A51">
      <w:pPr>
        <w:pStyle w:val="ListBullet"/>
      </w:pPr>
      <w:r w:rsidRPr="00A14A51">
        <w:t>features, functions and use of the following specimen collection equipment:</w:t>
      </w:r>
    </w:p>
    <w:p w:rsidR="00000000" w:rsidRPr="00A14A51" w:rsidP="00A14A51">
      <w:pPr>
        <w:pStyle w:val="ListBullet2"/>
      </w:pPr>
      <w:r w:rsidRPr="00A14A51">
        <w:t>sterile jars</w:t>
      </w:r>
    </w:p>
    <w:p w:rsidR="00000000" w:rsidRPr="00A14A51" w:rsidP="00A14A51">
      <w:pPr>
        <w:pStyle w:val="ListBullet2"/>
      </w:pPr>
      <w:r w:rsidRPr="00A14A51">
        <w:t>24hr urine containers with and without additives</w:t>
      </w:r>
    </w:p>
    <w:p w:rsidR="00000000" w:rsidRPr="00A14A51" w:rsidP="00A14A51">
      <w:pPr>
        <w:pStyle w:val="ListBullet2"/>
      </w:pPr>
      <w:r w:rsidRPr="00A14A51">
        <w:t>swabs - viral, bacterial, polymerase chain reaction (PCR), deoxyribonucleic</w:t>
      </w:r>
      <w:r w:rsidRPr="00A14A51">
        <w:t xml:space="preserve"> acid (DNA)</w:t>
      </w:r>
    </w:p>
    <w:p w:rsidR="00000000" w:rsidRPr="00A14A51" w:rsidP="00A14A51">
      <w:pPr>
        <w:pStyle w:val="ListBullet2"/>
      </w:pPr>
      <w:r w:rsidRPr="00A14A51">
        <w:t>paediatric urine collection bag</w:t>
      </w:r>
    </w:p>
    <w:p w:rsidR="00000000" w:rsidRPr="00A14A51" w:rsidP="00A14A51">
      <w:pPr>
        <w:pStyle w:val="ListBullet2"/>
      </w:pPr>
      <w:r w:rsidRPr="00A14A51">
        <w:t>breath balloons</w:t>
      </w:r>
    </w:p>
    <w:p w:rsidR="00000000" w:rsidRPr="00A14A51" w:rsidP="00A14A51">
      <w:pPr>
        <w:pStyle w:val="ListBullet2"/>
      </w:pPr>
      <w:r w:rsidRPr="00A14A51">
        <w:t>skin scraping equipment</w:t>
      </w:r>
    </w:p>
    <w:p w:rsidR="00000000" w:rsidRPr="00A14A51" w:rsidP="00A14A51">
      <w:pPr>
        <w:pStyle w:val="ListBullet2"/>
      </w:pPr>
      <w:r w:rsidRPr="00A14A51">
        <w:t>nail clipping and scraping equipment</w:t>
      </w:r>
    </w:p>
    <w:p w:rsidR="00000000" w:rsidRPr="00A14A51" w:rsidP="00A14A51">
      <w:pPr>
        <w:pStyle w:val="ListBullet"/>
      </w:pPr>
      <w:r w:rsidRPr="00A14A51">
        <w:t>handling and storage methods for different specimen types</w:t>
      </w:r>
    </w:p>
    <w:p w:rsidR="00000000" w:rsidRPr="00A14A51" w:rsidP="00A14A51">
      <w:pPr>
        <w:pStyle w:val="AllowPageBreak"/>
      </w:pPr>
    </w:p>
    <w:p w:rsidR="00000000" w:rsidRPr="00A14A51" w:rsidP="00A14A51">
      <w:pPr>
        <w:pStyle w:val="Heading1"/>
      </w:pPr>
      <w:bookmarkStart w:id="10" w:name="O_657074"/>
      <w:bookmarkEnd w:id="10"/>
      <w:r w:rsidRPr="00A14A51">
        <w:t>Assessment Conditions</w:t>
      </w:r>
    </w:p>
    <w:p w:rsidR="00000000" w:rsidRPr="00A14A51" w:rsidP="00C33A0A">
      <w:pPr>
        <w:pStyle w:val="BodyText"/>
      </w:pPr>
      <w:r w:rsidRPr="00A14A51">
        <w:t xml:space="preserve">Skills must have been demonstrated in the workplace with the addition of simulations and scenarios where the full range of contexts and situations have not been provided in the workplace. The following conditions must be met for this unit: </w:t>
      </w:r>
    </w:p>
    <w:p w:rsidR="00000000" w:rsidRPr="00A14A51" w:rsidP="00A14A51">
      <w:pPr>
        <w:pStyle w:val="ListBullet"/>
      </w:pPr>
      <w:r w:rsidRPr="00A14A51">
        <w:t>use of suitabl</w:t>
      </w:r>
      <w:r w:rsidRPr="00A14A51">
        <w:t xml:space="preserve">e facilities, equipment and resources, including: </w:t>
      </w:r>
    </w:p>
    <w:p w:rsidR="00000000" w:rsidRPr="00A14A51" w:rsidP="00A14A51">
      <w:pPr>
        <w:pStyle w:val="ListBullet2"/>
      </w:pPr>
      <w:r w:rsidRPr="00A14A51">
        <w:t>steri-wipes or alcohol wipes</w:t>
      </w:r>
    </w:p>
    <w:p w:rsidR="00000000" w:rsidRPr="00A14A51" w:rsidP="00A14A51">
      <w:pPr>
        <w:pStyle w:val="ListBullet2"/>
      </w:pPr>
      <w:r w:rsidRPr="00A14A51">
        <w:t>paediatric urine bags</w:t>
      </w:r>
    </w:p>
    <w:p w:rsidR="00000000" w:rsidRPr="00A14A51" w:rsidP="00A14A51">
      <w:pPr>
        <w:pStyle w:val="ListBullet2"/>
      </w:pPr>
      <w:r w:rsidRPr="00A14A51">
        <w:t>swabs</w:t>
      </w:r>
    </w:p>
    <w:p w:rsidR="00000000" w:rsidRPr="00A14A51" w:rsidP="00A14A51">
      <w:pPr>
        <w:pStyle w:val="ListBullet2"/>
      </w:pPr>
      <w:r w:rsidRPr="00A14A51">
        <w:t>scalpels</w:t>
      </w:r>
    </w:p>
    <w:p w:rsidR="00000000" w:rsidRPr="00A14A51" w:rsidP="00A14A51">
      <w:pPr>
        <w:pStyle w:val="ListBullet2"/>
      </w:pPr>
      <w:r w:rsidRPr="00A14A51">
        <w:t>sterile containers</w:t>
      </w:r>
    </w:p>
    <w:p w:rsidR="00000000" w:rsidRPr="00A14A51" w:rsidP="00A14A51">
      <w:pPr>
        <w:pStyle w:val="ListBullet2"/>
      </w:pPr>
      <w:r w:rsidRPr="00A14A51">
        <w:t>breath balloons</w:t>
      </w:r>
    </w:p>
    <w:p w:rsidR="00000000" w:rsidRPr="00A14A51" w:rsidP="00A14A51">
      <w:pPr>
        <w:pStyle w:val="ListBullet2"/>
      </w:pPr>
      <w:r w:rsidRPr="00A14A51">
        <w:t>collection devices for skin and nail scrapings</w:t>
      </w:r>
    </w:p>
    <w:p w:rsidR="00000000" w:rsidRPr="00A14A51" w:rsidP="00A14A51">
      <w:pPr>
        <w:pStyle w:val="ListBullet2"/>
      </w:pPr>
      <w:r w:rsidRPr="00A14A51">
        <w:t>packaging equipment consistent with regulatory and organ</w:t>
      </w:r>
      <w:r w:rsidRPr="00A14A51">
        <w:t>isational transport requirements</w:t>
      </w:r>
    </w:p>
    <w:p w:rsidR="00000000" w:rsidRPr="00A14A51" w:rsidP="00A14A51">
      <w:pPr>
        <w:pStyle w:val="ListBullet2"/>
      </w:pPr>
      <w:r w:rsidRPr="00A14A51">
        <w:t>documented collection procedures for the candidate to follow</w:t>
      </w:r>
    </w:p>
    <w:p w:rsidR="00000000" w:rsidRPr="00A14A51" w:rsidP="00A14A51">
      <w:pPr>
        <w:pStyle w:val="ListBullet"/>
      </w:pPr>
      <w:r w:rsidRPr="00A14A51">
        <w:t xml:space="preserve">modelling of industry operating conditions, including: </w:t>
      </w:r>
    </w:p>
    <w:p w:rsidR="00000000" w:rsidRPr="00A14A51" w:rsidP="00A14A51">
      <w:pPr>
        <w:pStyle w:val="ListBullet2"/>
      </w:pPr>
      <w:r w:rsidRPr="00A14A51">
        <w:t>interactions with clients from the general public</w:t>
      </w:r>
    </w:p>
    <w:p w:rsidR="00000000" w:rsidRPr="00A14A51" w:rsidP="00A14A51">
      <w:pPr>
        <w:pStyle w:val="ListBullet2"/>
      </w:pPr>
      <w:r w:rsidRPr="00A14A51">
        <w:t xml:space="preserve">presence of situations requiring problem solving </w:t>
      </w:r>
    </w:p>
    <w:p w:rsidR="00000000" w:rsidRPr="00A14A51" w:rsidP="00A14A51">
      <w:pPr>
        <w:pStyle w:val="ListBullet"/>
      </w:pPr>
      <w:r w:rsidRPr="00A14A51">
        <w:t>supervision of candidate’s work activities by a person currently working in a collection role for at least 18 hours in a fortnight time period</w:t>
      </w:r>
    </w:p>
    <w:p w:rsidR="00000000" w:rsidRPr="00A14A51" w:rsidP="00A14A51">
      <w:pPr>
        <w:pStyle w:val="BodyText"/>
      </w:pPr>
    </w:p>
    <w:p w:rsidR="00000000" w:rsidRPr="00A14A51" w:rsidP="00C33A0A">
      <w:pPr>
        <w:pStyle w:val="BodyText"/>
      </w:pPr>
      <w:r w:rsidRPr="00A14A51">
        <w:t>Assessors must satisfy the Standards for Registered Training Organisations (RTOs) 2015/AQTF mandatory competency</w:t>
      </w:r>
      <w:r w:rsidRPr="00A14A51">
        <w:t xml:space="preserve"> requirements for assessors.</w:t>
      </w:r>
    </w:p>
    <w:p w:rsidR="00000000" w:rsidRPr="00A14A51" w:rsidP="00A14A51">
      <w:pPr>
        <w:pStyle w:val="Heading1"/>
      </w:pPr>
      <w:bookmarkStart w:id="11" w:name="O_657077"/>
      <w:bookmarkEnd w:id="11"/>
      <w:r w:rsidRPr="00A14A51">
        <w:t>Links</w:t>
      </w:r>
    </w:p>
    <w:p w:rsidR="00000000" w:rsidRPr="00A14A51" w:rsidP="00C33A0A">
      <w:pPr>
        <w:pStyle w:val="BodyText"/>
      </w:pPr>
      <w:r w:rsidRPr="00A14A5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B72E5">
        <w:rPr>
          <w:rStyle w:val="Hyperlink"/>
        </w:rPr>
        <w:t>https://vetnet.gov.au/Pages/TrainingDocs.aspx?q=ced1390f-48d9-4ab0-bd50-b015e5485705</w:t>
      </w:r>
      <w:r>
        <w:fldChar w:fldCharType="end"/>
      </w:r>
    </w:p>
    <w:p w:rsidR="00000000" w:rsidRPr="00A14A51" w:rsidP="00A14A51"/>
    <w:sectPr w:rsidSect="00A14A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A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A51" w:rsidRPr="00C33A0A" w:rsidP="00C33A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A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A0A" w:rsidP="00A14A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33A0A" w:rsidP="00A14A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33A0A" w:rsidP="00A14A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A51" w:rsidP="00A14A51">
    <w:pPr>
      <w:pStyle w:val="Footer"/>
      <w:framePr w:wrap="around"/>
    </w:pPr>
    <w:r>
      <w:fldChar w:fldCharType="begin"/>
    </w:r>
    <w:r>
      <w:instrText xml:space="preserve"> DOCPROPERTY  Subject  \* MERGEFORMAT </w:instrText>
    </w:r>
    <w:r>
      <w:fldChar w:fldCharType="separate"/>
    </w:r>
    <w:r w:rsidR="00C33A0A">
      <w:t>Approved</w:t>
    </w:r>
    <w:r w:rsidR="00C33A0A">
      <w:fldChar w:fldCharType="end"/>
    </w:r>
    <w:r>
      <w:tab/>
      <w:t xml:space="preserve">Page </w:t>
    </w:r>
    <w:r>
      <w:fldChar w:fldCharType="begin"/>
    </w:r>
    <w:r>
      <w:instrText xml:space="preserve"> PAGE  \* Arabic  \* MERGEFORMAT </w:instrText>
    </w:r>
    <w:r>
      <w:fldChar w:fldCharType="separate"/>
    </w:r>
    <w:r w:rsidR="00C33A0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3A0A">
      <w:rPr>
        <w:noProof/>
      </w:rPr>
      <w:t>5</w:t>
    </w:r>
    <w:r>
      <w:rPr>
        <w:noProof/>
      </w:rPr>
      <w:fldChar w:fldCharType="end"/>
    </w:r>
  </w:p>
  <w:p w:rsidR="00A14A51" w:rsidP="00A14A51">
    <w:pPr>
      <w:pStyle w:val="Footer"/>
      <w:framePr w:wrap="around"/>
    </w:pPr>
    <w:r>
      <w:t xml:space="preserve">© Commonwealth of Australia, </w:t>
    </w:r>
    <w:r>
      <w:fldChar w:fldCharType="begin"/>
    </w:r>
    <w:r>
      <w:instrText xml:space="preserve"> DATE  \@ "yyyy"  \* MERGEFORMAT </w:instrText>
    </w:r>
    <w:r>
      <w:fldChar w:fldCharType="separate"/>
    </w:r>
    <w:r w:rsidR="00C33A0A">
      <w:rPr>
        <w:noProof/>
      </w:rPr>
      <w:t>2025</w:t>
    </w:r>
    <w:r>
      <w:fldChar w:fldCharType="end"/>
    </w:r>
    <w:r>
      <w:tab/>
    </w:r>
    <w:r>
      <w:fldChar w:fldCharType="begin"/>
    </w:r>
    <w:r>
      <w:instrText xml:space="preserve"> DOCPROPERTY  Author  \* MERGEFORMAT </w:instrText>
    </w:r>
    <w:r>
      <w:fldChar w:fldCharType="separate"/>
    </w:r>
    <w:r w:rsidR="00C33A0A">
      <w:t>HumanAbility</w:t>
    </w:r>
    <w:r w:rsidR="00C33A0A">
      <w:fldChar w:fldCharType="end"/>
    </w:r>
  </w:p>
  <w:p w:rsidR="00A14A51" w:rsidP="00A14A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A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A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4A51" w:rsidRPr="00C33A0A" w:rsidP="00C33A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A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A0A" w:rsidRPr="002D2AF8" w:rsidP="00A14A51">
    <w:pPr>
      <w:pStyle w:val="Header"/>
      <w:framePr w:wrap="around"/>
    </w:pPr>
    <w:r>
      <w:fldChar w:fldCharType="begin"/>
    </w:r>
    <w:r>
      <w:instrText xml:space="preserve"> TITLE   \* MERGEFORMAT </w:instrText>
    </w:r>
    <w:r>
      <w:fldChar w:fldCharType="separate"/>
    </w:r>
    <w:r>
      <w:t>HLTPAT004 Collect pathology specimens other than blood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3A0A" w:rsidP="00A14A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A51" w:rsidRPr="002D2AF8" w:rsidP="00A14A51">
    <w:pPr>
      <w:pStyle w:val="Header"/>
      <w:framePr w:wrap="around"/>
    </w:pPr>
    <w:r>
      <w:fldChar w:fldCharType="begin"/>
    </w:r>
    <w:r>
      <w:instrText xml:space="preserve"> TITLE   \* MERGEFORMAT </w:instrText>
    </w:r>
    <w:r>
      <w:fldChar w:fldCharType="separate"/>
    </w:r>
    <w:r w:rsidR="00C33A0A">
      <w:t>HLTPAT004 Collect pathology specimens other than blood</w:t>
    </w:r>
    <w:r w:rsidR="00C33A0A">
      <w:fldChar w:fldCharType="end"/>
    </w:r>
    <w:r>
      <w:tab/>
      <w:t xml:space="preserve">Date this document was generated: </w:t>
    </w:r>
    <w:r>
      <w:fldChar w:fldCharType="begin"/>
    </w:r>
    <w:r>
      <w:instrText xml:space="preserve"> CREATEDATE  \@ "d MMMM yyyy"  \* MERGEFORMAT </w:instrText>
    </w:r>
    <w:r>
      <w:fldChar w:fldCharType="separate"/>
    </w:r>
    <w:r w:rsidR="00C33A0A">
      <w:rPr>
        <w:noProof/>
      </w:rPr>
      <w:t>2 March 2025</w:t>
    </w:r>
    <w:r>
      <w:fldChar w:fldCharType="end"/>
    </w:r>
  </w:p>
  <w:p w:rsidR="00A14A51" w:rsidP="00A14A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ECC1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4C14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188B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A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4A51"/>
    <w:pPr>
      <w:spacing w:before="360" w:after="60"/>
      <w:outlineLvl w:val="0"/>
    </w:pPr>
    <w:rPr>
      <w:sz w:val="32"/>
    </w:rPr>
  </w:style>
  <w:style w:type="paragraph" w:styleId="Heading2">
    <w:name w:val="heading 2"/>
    <w:basedOn w:val="HeadingBase"/>
    <w:next w:val="BodyText"/>
    <w:link w:val="Heading2Char"/>
    <w:qFormat/>
    <w:rsid w:val="00A14A51"/>
    <w:pPr>
      <w:keepLines/>
      <w:spacing w:before="240" w:after="120"/>
      <w:outlineLvl w:val="1"/>
    </w:pPr>
    <w:rPr>
      <w:sz w:val="28"/>
      <w:szCs w:val="40"/>
    </w:rPr>
  </w:style>
  <w:style w:type="paragraph" w:styleId="Heading3">
    <w:name w:val="heading 3"/>
    <w:basedOn w:val="HeadingBase"/>
    <w:next w:val="BodyText"/>
    <w:link w:val="Heading3Char"/>
    <w:qFormat/>
    <w:rsid w:val="00A14A51"/>
    <w:pPr>
      <w:spacing w:before="180" w:after="120"/>
      <w:outlineLvl w:val="2"/>
    </w:pPr>
    <w:rPr>
      <w:spacing w:val="-10"/>
      <w:kern w:val="32"/>
    </w:rPr>
  </w:style>
  <w:style w:type="paragraph" w:styleId="Heading4">
    <w:name w:val="heading 4"/>
    <w:basedOn w:val="HeadingBase"/>
    <w:next w:val="BodyText"/>
    <w:link w:val="Heading4Char"/>
    <w:qFormat/>
    <w:rsid w:val="00A14A51"/>
    <w:pPr>
      <w:spacing w:before="160" w:after="120"/>
      <w:outlineLvl w:val="3"/>
    </w:pPr>
    <w:rPr>
      <w:sz w:val="22"/>
    </w:rPr>
  </w:style>
  <w:style w:type="paragraph" w:styleId="Heading5">
    <w:name w:val="heading 5"/>
    <w:basedOn w:val="HeadingBase"/>
    <w:next w:val="Normal"/>
    <w:link w:val="Heading5Char"/>
    <w:qFormat/>
    <w:rsid w:val="00A14A51"/>
    <w:pPr>
      <w:spacing w:before="80"/>
      <w:outlineLvl w:val="4"/>
    </w:pPr>
    <w:rPr>
      <w:color w:val="918585"/>
      <w:sz w:val="20"/>
    </w:rPr>
  </w:style>
  <w:style w:type="paragraph" w:styleId="Heading6">
    <w:name w:val="heading 6"/>
    <w:basedOn w:val="HeadingBase"/>
    <w:next w:val="Normal"/>
    <w:link w:val="Heading6Char"/>
    <w:qFormat/>
    <w:rsid w:val="00A14A51"/>
    <w:pPr>
      <w:spacing w:before="60"/>
      <w:outlineLvl w:val="5"/>
    </w:pPr>
    <w:rPr>
      <w:color w:val="918585"/>
      <w:sz w:val="20"/>
    </w:rPr>
  </w:style>
  <w:style w:type="paragraph" w:styleId="Heading7">
    <w:name w:val="heading 7"/>
    <w:basedOn w:val="Normal"/>
    <w:next w:val="Normal"/>
    <w:link w:val="Heading7Char"/>
    <w:qFormat/>
    <w:rsid w:val="00A14A51"/>
    <w:pPr>
      <w:ind w:left="720"/>
      <w:outlineLvl w:val="6"/>
    </w:pPr>
    <w:rPr>
      <w:i/>
    </w:rPr>
  </w:style>
  <w:style w:type="paragraph" w:styleId="Heading8">
    <w:name w:val="heading 8"/>
    <w:basedOn w:val="Normal"/>
    <w:next w:val="Normal"/>
    <w:link w:val="Heading8Char"/>
    <w:qFormat/>
    <w:rsid w:val="00A14A51"/>
    <w:pPr>
      <w:ind w:left="720"/>
      <w:outlineLvl w:val="7"/>
    </w:pPr>
    <w:rPr>
      <w:i/>
    </w:rPr>
  </w:style>
  <w:style w:type="paragraph" w:styleId="Heading9">
    <w:name w:val="heading 9"/>
    <w:basedOn w:val="Normal"/>
    <w:next w:val="Normal"/>
    <w:link w:val="Heading9Char"/>
    <w:qFormat/>
    <w:rsid w:val="00A14A51"/>
    <w:pPr>
      <w:ind w:left="720"/>
      <w:outlineLvl w:val="8"/>
    </w:pPr>
    <w:rPr>
      <w:i/>
    </w:rPr>
  </w:style>
  <w:style w:type="character" w:default="1" w:styleId="DefaultParagraphFont">
    <w:name w:val="Default Paragraph Font"/>
    <w:uiPriority w:val="1"/>
    <w:unhideWhenUsed/>
    <w:rsid w:val="00A14A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A51"/>
  </w:style>
  <w:style w:type="character" w:customStyle="1" w:styleId="Heading1Char">
    <w:name w:val="Heading 1 Char"/>
    <w:basedOn w:val="DefaultParagraphFont"/>
    <w:link w:val="Heading1"/>
    <w:rsid w:val="00A14A51"/>
    <w:rPr>
      <w:rFonts w:ascii="Times New Roman" w:eastAsia="Times New Roman" w:hAnsi="Times New Roman" w:cs="Times New Roman"/>
      <w:b/>
      <w:sz w:val="32"/>
      <w:szCs w:val="20"/>
      <w:lang w:eastAsia="en-US"/>
    </w:rPr>
  </w:style>
  <w:style w:type="paragraph" w:styleId="BodyText">
    <w:name w:val="Body Text"/>
    <w:basedOn w:val="Normal"/>
    <w:link w:val="BodyTextChar"/>
    <w:rsid w:val="00A14A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4A51"/>
    <w:rPr>
      <w:rFonts w:ascii="Times New Roman" w:eastAsia="Times New Roman" w:hAnsi="Times New Roman" w:cs="Times New Roman"/>
      <w:sz w:val="24"/>
      <w:lang w:eastAsia="en-US"/>
    </w:rPr>
  </w:style>
  <w:style w:type="paragraph" w:styleId="ListBullet">
    <w:name w:val="List Bullet"/>
    <w:basedOn w:val="List"/>
    <w:rsid w:val="00A14A51"/>
    <w:pPr>
      <w:numPr>
        <w:numId w:val="13"/>
      </w:numPr>
      <w:tabs>
        <w:tab w:val="clear" w:pos="340"/>
      </w:tabs>
      <w:spacing w:before="40" w:after="40"/>
    </w:pPr>
  </w:style>
  <w:style w:type="character" w:customStyle="1" w:styleId="SpecialBold">
    <w:name w:val="Special Bold"/>
    <w:basedOn w:val="DefaultParagraphFont"/>
    <w:rsid w:val="00A14A51"/>
    <w:rPr>
      <w:b/>
      <w:spacing w:val="0"/>
    </w:rPr>
  </w:style>
  <w:style w:type="paragraph" w:styleId="ListBullet2">
    <w:name w:val="List Bullet 2"/>
    <w:basedOn w:val="List2"/>
    <w:rsid w:val="00A14A51"/>
    <w:pPr>
      <w:numPr>
        <w:numId w:val="14"/>
      </w:numPr>
      <w:tabs>
        <w:tab w:val="clear" w:pos="680"/>
      </w:tabs>
    </w:pPr>
  </w:style>
  <w:style w:type="character" w:styleId="Emphasis">
    <w:name w:val="Emphasis"/>
    <w:basedOn w:val="DefaultParagraphFont"/>
    <w:qFormat/>
    <w:rsid w:val="00A14A51"/>
    <w:rPr>
      <w:i/>
    </w:rPr>
  </w:style>
  <w:style w:type="paragraph" w:customStyle="1" w:styleId="SuperHeading">
    <w:name w:val="SuperHeading"/>
    <w:basedOn w:val="Normal"/>
    <w:rsid w:val="00A14A51"/>
    <w:pPr>
      <w:spacing w:before="240" w:after="120"/>
      <w:outlineLvl w:val="0"/>
    </w:pPr>
    <w:rPr>
      <w:rFonts w:ascii="Times New Roman" w:hAnsi="Times New Roman"/>
      <w:b/>
      <w:sz w:val="32"/>
    </w:rPr>
  </w:style>
  <w:style w:type="paragraph" w:customStyle="1" w:styleId="AllowPageBreak">
    <w:name w:val="AllowPageBreak"/>
    <w:rsid w:val="00A14A51"/>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A14A51"/>
    <w:pPr>
      <w:ind w:firstLine="0"/>
    </w:pPr>
  </w:style>
  <w:style w:type="paragraph" w:styleId="ListBullet3">
    <w:name w:val="List Bullet 3"/>
    <w:basedOn w:val="List3"/>
    <w:rsid w:val="00A14A51"/>
    <w:pPr>
      <w:numPr>
        <w:numId w:val="3"/>
      </w:numPr>
      <w:tabs>
        <w:tab w:val="clear" w:pos="1021"/>
      </w:tabs>
      <w:ind w:left="1037" w:hanging="357"/>
    </w:pPr>
  </w:style>
  <w:style w:type="character" w:customStyle="1" w:styleId="Heading2Char">
    <w:name w:val="Heading 2 Char"/>
    <w:basedOn w:val="DefaultParagraphFont"/>
    <w:link w:val="Heading2"/>
    <w:rsid w:val="00A14A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A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4A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4A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A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A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4A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4A51"/>
    <w:rPr>
      <w:rFonts w:ascii="Courier New" w:eastAsia="Times New Roman" w:hAnsi="Courier New" w:cs="Times New Roman"/>
      <w:i/>
      <w:szCs w:val="20"/>
      <w:lang w:eastAsia="en-US"/>
    </w:rPr>
  </w:style>
  <w:style w:type="paragraph" w:customStyle="1" w:styleId="HeadingBase">
    <w:name w:val="Heading Base"/>
    <w:rsid w:val="00A14A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A51"/>
    <w:pPr>
      <w:tabs>
        <w:tab w:val="right" w:leader="dot" w:pos="9072"/>
      </w:tabs>
      <w:ind w:left="567"/>
    </w:pPr>
    <w:rPr>
      <w:szCs w:val="22"/>
    </w:rPr>
  </w:style>
  <w:style w:type="paragraph" w:customStyle="1" w:styleId="TOCBase">
    <w:name w:val="TOC Base"/>
    <w:rsid w:val="00A14A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A51"/>
    <w:pPr>
      <w:tabs>
        <w:tab w:val="right" w:leader="dot" w:pos="9072"/>
      </w:tabs>
      <w:spacing w:before="40" w:after="40"/>
      <w:ind w:left="284"/>
    </w:pPr>
    <w:rPr>
      <w:rFonts w:ascii="Times New Roman" w:hAnsi="Times New Roman"/>
    </w:rPr>
  </w:style>
  <w:style w:type="paragraph" w:styleId="TOC1">
    <w:name w:val="toc 1"/>
    <w:basedOn w:val="TOCBase"/>
    <w:next w:val="Normal"/>
    <w:rsid w:val="00A14A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4A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A51"/>
    <w:rPr>
      <w:rFonts w:ascii="Times New Roman" w:eastAsia="Times New Roman" w:hAnsi="Times New Roman" w:cs="Times New Roman"/>
      <w:sz w:val="16"/>
      <w:lang w:eastAsia="en-US"/>
    </w:rPr>
  </w:style>
  <w:style w:type="paragraph" w:styleId="Title">
    <w:name w:val="Title"/>
    <w:basedOn w:val="HeadingBase"/>
    <w:link w:val="TitleChar"/>
    <w:qFormat/>
    <w:rsid w:val="00A14A51"/>
    <w:pPr>
      <w:spacing w:before="5040"/>
      <w:jc w:val="center"/>
    </w:pPr>
    <w:rPr>
      <w:sz w:val="48"/>
      <w:szCs w:val="72"/>
      <w:lang w:val="en-US"/>
    </w:rPr>
  </w:style>
  <w:style w:type="character" w:customStyle="1" w:styleId="TitleChar">
    <w:name w:val="Title Char"/>
    <w:basedOn w:val="DefaultParagraphFont"/>
    <w:link w:val="Title"/>
    <w:rsid w:val="00A14A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A51"/>
    <w:pPr>
      <w:tabs>
        <w:tab w:val="left" w:pos="3600"/>
        <w:tab w:val="left" w:pos="3958"/>
      </w:tabs>
    </w:pPr>
  </w:style>
  <w:style w:type="paragraph" w:styleId="List">
    <w:name w:val="List"/>
    <w:basedOn w:val="BodyText"/>
    <w:next w:val="BodyText"/>
    <w:rsid w:val="00A14A51"/>
    <w:pPr>
      <w:tabs>
        <w:tab w:val="left" w:pos="340"/>
      </w:tabs>
      <w:spacing w:before="60" w:after="60"/>
      <w:ind w:left="340" w:hanging="340"/>
    </w:pPr>
  </w:style>
  <w:style w:type="paragraph" w:customStyle="1" w:styleId="Note">
    <w:name w:val="Note"/>
    <w:basedOn w:val="BodyText"/>
    <w:rsid w:val="00A14A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A51"/>
    <w:pPr>
      <w:framePr w:wrap="auto" w:hAnchor="text" w:y="6049"/>
    </w:pPr>
    <w:rPr>
      <w:color w:val="000000"/>
      <w:sz w:val="40"/>
    </w:rPr>
  </w:style>
  <w:style w:type="paragraph" w:customStyle="1" w:styleId="TOCTitle">
    <w:name w:val="TOCTitle"/>
    <w:basedOn w:val="Heading1"/>
    <w:rsid w:val="00A14A51"/>
    <w:pPr>
      <w:spacing w:after="240"/>
      <w:jc w:val="center"/>
      <w:outlineLvl w:val="9"/>
    </w:pPr>
    <w:rPr>
      <w:caps/>
    </w:rPr>
  </w:style>
  <w:style w:type="paragraph" w:customStyle="1" w:styleId="Version">
    <w:name w:val="Version"/>
    <w:rsid w:val="00A14A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4A51"/>
    <w:pPr>
      <w:keepNext w:val="0"/>
      <w:tabs>
        <w:tab w:val="right" w:pos="4176"/>
      </w:tabs>
      <w:ind w:left="198" w:hanging="198"/>
    </w:pPr>
    <w:rPr>
      <w:rFonts w:ascii="Garamond" w:hAnsi="Garamond"/>
    </w:rPr>
  </w:style>
  <w:style w:type="paragraph" w:styleId="IndexHeading">
    <w:name w:val="index heading"/>
    <w:basedOn w:val="Normal"/>
    <w:next w:val="Index1"/>
    <w:semiHidden/>
    <w:rsid w:val="00A14A51"/>
    <w:pPr>
      <w:spacing w:before="120" w:after="120"/>
    </w:pPr>
    <w:rPr>
      <w:rFonts w:ascii="Arial" w:hAnsi="Arial"/>
      <w:b/>
      <w:color w:val="918585"/>
      <w:sz w:val="24"/>
    </w:rPr>
  </w:style>
  <w:style w:type="paragraph" w:styleId="Header">
    <w:name w:val="header"/>
    <w:basedOn w:val="Normal"/>
    <w:link w:val="HeaderChar"/>
    <w:rsid w:val="00A14A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A51"/>
    <w:rPr>
      <w:rFonts w:ascii="Times New Roman" w:eastAsia="Times New Roman" w:hAnsi="Times New Roman" w:cs="Times New Roman"/>
      <w:sz w:val="16"/>
      <w:szCs w:val="20"/>
      <w:lang w:val="en-GB" w:eastAsia="en-US"/>
    </w:rPr>
  </w:style>
  <w:style w:type="paragraph" w:customStyle="1" w:styleId="Chapter">
    <w:name w:val="Chapter"/>
    <w:basedOn w:val="Normal"/>
    <w:rsid w:val="00A14A51"/>
    <w:pPr>
      <w:spacing w:before="240"/>
    </w:pPr>
    <w:rPr>
      <w:rFonts w:ascii="Times New Roman" w:hAnsi="Times New Roman"/>
      <w:smallCaps/>
      <w:spacing w:val="80"/>
      <w:sz w:val="28"/>
    </w:rPr>
  </w:style>
  <w:style w:type="paragraph" w:customStyle="1" w:styleId="InChapter">
    <w:name w:val="InChapter"/>
    <w:basedOn w:val="Heading3"/>
    <w:rsid w:val="00A14A51"/>
    <w:pPr>
      <w:spacing w:after="240"/>
      <w:outlineLvl w:val="9"/>
    </w:pPr>
    <w:rPr>
      <w:noProof/>
    </w:rPr>
  </w:style>
  <w:style w:type="paragraph" w:styleId="Index2">
    <w:name w:val="index 2"/>
    <w:basedOn w:val="Normal"/>
    <w:next w:val="Normal"/>
    <w:semiHidden/>
    <w:rsid w:val="00A14A51"/>
    <w:pPr>
      <w:tabs>
        <w:tab w:val="right" w:pos="4176"/>
      </w:tabs>
      <w:ind w:left="568" w:hanging="284"/>
    </w:pPr>
    <w:rPr>
      <w:rFonts w:ascii="Garamond" w:hAnsi="Garamond"/>
    </w:rPr>
  </w:style>
  <w:style w:type="paragraph" w:customStyle="1" w:styleId="Byline">
    <w:name w:val="Byline"/>
    <w:rsid w:val="00A14A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A51"/>
    <w:pPr>
      <w:tabs>
        <w:tab w:val="clear" w:pos="3600"/>
        <w:tab w:val="clear" w:pos="3958"/>
      </w:tabs>
      <w:jc w:val="right"/>
    </w:pPr>
  </w:style>
  <w:style w:type="paragraph" w:styleId="Caption">
    <w:name w:val="caption"/>
    <w:basedOn w:val="BodyText"/>
    <w:next w:val="Normal"/>
    <w:qFormat/>
    <w:rsid w:val="00A14A51"/>
    <w:pPr>
      <w:framePr w:w="2268" w:hSpace="181" w:vSpace="181" w:wrap="around" w:vAnchor="text" w:hAnchor="page" w:x="1135" w:y="285" w:anchorLock="1"/>
    </w:pPr>
    <w:rPr>
      <w:i/>
    </w:rPr>
  </w:style>
  <w:style w:type="paragraph" w:customStyle="1" w:styleId="MiniTOCTitle">
    <w:name w:val="MiniTOCTitle"/>
    <w:basedOn w:val="Heading4"/>
    <w:rsid w:val="00A14A51"/>
    <w:pPr>
      <w:spacing w:before="240"/>
      <w:outlineLvl w:val="9"/>
    </w:pPr>
    <w:rPr>
      <w:noProof/>
      <w:sz w:val="24"/>
    </w:rPr>
  </w:style>
  <w:style w:type="paragraph" w:customStyle="1" w:styleId="MiniTOCItem">
    <w:name w:val="MiniTOCItem"/>
    <w:basedOn w:val="ListBullet"/>
    <w:rsid w:val="00A14A51"/>
    <w:pPr>
      <w:numPr>
        <w:numId w:val="0"/>
      </w:numPr>
      <w:tabs>
        <w:tab w:val="right" w:leader="dot" w:pos="6521"/>
      </w:tabs>
      <w:spacing w:before="0" w:after="0"/>
    </w:pPr>
  </w:style>
  <w:style w:type="paragraph" w:customStyle="1" w:styleId="TOFTitle">
    <w:name w:val="TOFTitle"/>
    <w:basedOn w:val="TOCTitle"/>
    <w:rsid w:val="00A14A51"/>
  </w:style>
  <w:style w:type="paragraph" w:styleId="TableofFigures">
    <w:name w:val="table of figures"/>
    <w:basedOn w:val="Normal"/>
    <w:next w:val="Normal"/>
    <w:semiHidden/>
    <w:rsid w:val="00A14A51"/>
    <w:pPr>
      <w:tabs>
        <w:tab w:val="right" w:leader="dot" w:pos="9072"/>
      </w:tabs>
      <w:ind w:left="970" w:hanging="403"/>
    </w:pPr>
    <w:rPr>
      <w:rFonts w:ascii="Times New Roman" w:hAnsi="Times New Roman"/>
      <w:b/>
    </w:rPr>
  </w:style>
  <w:style w:type="paragraph" w:styleId="ListNumber">
    <w:name w:val="List Number"/>
    <w:basedOn w:val="List"/>
    <w:rsid w:val="00A14A51"/>
    <w:pPr>
      <w:numPr>
        <w:numId w:val="16"/>
      </w:numPr>
      <w:tabs>
        <w:tab w:val="clear" w:pos="340"/>
      </w:tabs>
    </w:pPr>
  </w:style>
  <w:style w:type="character" w:customStyle="1" w:styleId="WingdingSymbols">
    <w:name w:val="Wingding Symbols"/>
    <w:rsid w:val="00A14A51"/>
    <w:rPr>
      <w:rFonts w:ascii="Wingdings" w:hAnsi="Wingdings"/>
    </w:rPr>
  </w:style>
  <w:style w:type="paragraph" w:customStyle="1" w:styleId="TableHeading">
    <w:name w:val="Table Heading"/>
    <w:basedOn w:val="HeadingBase"/>
    <w:rsid w:val="00A14A51"/>
    <w:pPr>
      <w:keepLines/>
      <w:pBdr>
        <w:bottom w:val="single" w:sz="6" w:space="1" w:color="918585"/>
      </w:pBdr>
      <w:spacing w:before="240"/>
    </w:pPr>
  </w:style>
  <w:style w:type="character" w:customStyle="1" w:styleId="HotSpot">
    <w:name w:val="HotSpot"/>
    <w:rsid w:val="00A14A51"/>
    <w:rPr>
      <w:color w:val="0033CC"/>
      <w:u w:val="none"/>
    </w:rPr>
  </w:style>
  <w:style w:type="paragraph" w:customStyle="1" w:styleId="BodyTextRight">
    <w:name w:val="Body Text Right"/>
    <w:basedOn w:val="BodyText"/>
    <w:rsid w:val="00A14A51"/>
    <w:pPr>
      <w:spacing w:before="0" w:after="0"/>
      <w:jc w:val="right"/>
    </w:pPr>
  </w:style>
  <w:style w:type="paragraph" w:styleId="Index3">
    <w:name w:val="index 3"/>
    <w:basedOn w:val="ListNumber2"/>
    <w:next w:val="Normal"/>
    <w:semiHidden/>
    <w:rsid w:val="00A14A51"/>
    <w:pPr>
      <w:numPr>
        <w:numId w:val="0"/>
      </w:numPr>
      <w:tabs>
        <w:tab w:val="right" w:leader="dot" w:pos="4176"/>
      </w:tabs>
    </w:pPr>
  </w:style>
  <w:style w:type="paragraph" w:styleId="ListNumber2">
    <w:name w:val="List Number 2"/>
    <w:basedOn w:val="List2"/>
    <w:rsid w:val="00A14A51"/>
    <w:pPr>
      <w:numPr>
        <w:numId w:val="11"/>
      </w:numPr>
      <w:tabs>
        <w:tab w:val="clear" w:pos="1060"/>
      </w:tabs>
    </w:pPr>
  </w:style>
  <w:style w:type="paragraph" w:customStyle="1" w:styleId="MarginNote">
    <w:name w:val="Margin Note"/>
    <w:basedOn w:val="BodyText"/>
    <w:rsid w:val="00A14A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A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A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4A51"/>
    <w:rPr>
      <w:sz w:val="32"/>
    </w:rPr>
  </w:style>
  <w:style w:type="paragraph" w:customStyle="1" w:styleId="HeadingProcedure">
    <w:name w:val="Heading Procedure"/>
    <w:basedOn w:val="HeadingBase"/>
    <w:next w:val="Normal"/>
    <w:rsid w:val="00A14A51"/>
    <w:pPr>
      <w:tabs>
        <w:tab w:val="left" w:pos="0"/>
      </w:tabs>
      <w:spacing w:before="120" w:after="60"/>
    </w:pPr>
    <w:rPr>
      <w:i/>
      <w:color w:val="918585"/>
      <w:sz w:val="22"/>
    </w:rPr>
  </w:style>
  <w:style w:type="paragraph" w:customStyle="1" w:styleId="TableBodyText">
    <w:name w:val="Table Body Text"/>
    <w:basedOn w:val="BodyText"/>
    <w:rsid w:val="00A14A51"/>
    <w:pPr>
      <w:spacing w:before="60" w:after="60"/>
    </w:pPr>
  </w:style>
  <w:style w:type="paragraph" w:customStyle="1" w:styleId="ListNote">
    <w:name w:val="List Note"/>
    <w:basedOn w:val="List"/>
    <w:rsid w:val="00A14A51"/>
    <w:pPr>
      <w:pBdr>
        <w:top w:val="single" w:sz="6" w:space="2" w:color="918585"/>
        <w:bottom w:val="single" w:sz="6" w:space="2" w:color="918585"/>
      </w:pBdr>
      <w:tabs>
        <w:tab w:val="left" w:pos="1021"/>
      </w:tabs>
      <w:ind w:firstLine="0"/>
    </w:pPr>
  </w:style>
  <w:style w:type="paragraph" w:customStyle="1" w:styleId="Warning">
    <w:name w:val="Warning"/>
    <w:basedOn w:val="BodyText"/>
    <w:rsid w:val="00A14A51"/>
    <w:pPr>
      <w:shd w:val="clear" w:color="auto" w:fill="D9D9D9"/>
      <w:tabs>
        <w:tab w:val="left" w:pos="992"/>
      </w:tabs>
      <w:ind w:left="119" w:right="119"/>
    </w:pPr>
    <w:rPr>
      <w:sz w:val="20"/>
    </w:rPr>
  </w:style>
  <w:style w:type="paragraph" w:customStyle="1" w:styleId="MarginIcons">
    <w:name w:val="Margin Icons"/>
    <w:basedOn w:val="BodyText"/>
    <w:rsid w:val="00A14A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A51"/>
    <w:rPr>
      <w:rFonts w:ascii="Courier New" w:hAnsi="Courier New"/>
    </w:rPr>
  </w:style>
  <w:style w:type="paragraph" w:customStyle="1" w:styleId="NoteBullet">
    <w:name w:val="Note Bullet"/>
    <w:basedOn w:val="Note"/>
    <w:rsid w:val="00A14A51"/>
    <w:pPr>
      <w:tabs>
        <w:tab w:val="clear" w:pos="680"/>
      </w:tabs>
      <w:spacing w:before="60" w:after="60"/>
    </w:pPr>
  </w:style>
  <w:style w:type="paragraph" w:customStyle="1" w:styleId="SubHeading2">
    <w:name w:val="SubHeading2"/>
    <w:basedOn w:val="HeadingBase"/>
    <w:rsid w:val="00A14A51"/>
    <w:pPr>
      <w:spacing w:before="240" w:after="60"/>
    </w:pPr>
    <w:rPr>
      <w:sz w:val="20"/>
    </w:rPr>
  </w:style>
  <w:style w:type="paragraph" w:customStyle="1" w:styleId="SubHeading1">
    <w:name w:val="SubHeading1"/>
    <w:basedOn w:val="HeadingBase"/>
    <w:rsid w:val="00A14A51"/>
    <w:pPr>
      <w:spacing w:before="240" w:after="60"/>
    </w:pPr>
    <w:rPr>
      <w:color w:val="918585"/>
      <w:sz w:val="22"/>
    </w:rPr>
  </w:style>
  <w:style w:type="paragraph" w:customStyle="1" w:styleId="SideHeading">
    <w:name w:val="Side Heading"/>
    <w:basedOn w:val="HeadingBase"/>
    <w:rsid w:val="00A14A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A51"/>
    <w:pPr>
      <w:numPr>
        <w:numId w:val="12"/>
      </w:numPr>
    </w:pPr>
  </w:style>
  <w:style w:type="paragraph" w:styleId="PlainText">
    <w:name w:val="Plain Text"/>
    <w:basedOn w:val="Normal"/>
    <w:link w:val="PlainTextChar"/>
    <w:rsid w:val="00A14A51"/>
    <w:rPr>
      <w:sz w:val="20"/>
    </w:rPr>
  </w:style>
  <w:style w:type="character" w:customStyle="1" w:styleId="PlainTextChar">
    <w:name w:val="Plain Text Char"/>
    <w:basedOn w:val="DefaultParagraphFont"/>
    <w:link w:val="PlainText"/>
    <w:rsid w:val="00A14A51"/>
    <w:rPr>
      <w:rFonts w:ascii="Courier New" w:eastAsia="Times New Roman" w:hAnsi="Courier New" w:cs="Times New Roman"/>
      <w:sz w:val="20"/>
      <w:szCs w:val="20"/>
      <w:lang w:eastAsia="en-US"/>
    </w:rPr>
  </w:style>
  <w:style w:type="character" w:customStyle="1" w:styleId="MenuOption">
    <w:name w:val="Menu Option"/>
    <w:basedOn w:val="DefaultParagraphFont"/>
    <w:rsid w:val="00A14A51"/>
    <w:rPr>
      <w:b/>
      <w:smallCaps/>
    </w:rPr>
  </w:style>
  <w:style w:type="paragraph" w:customStyle="1" w:styleId="TableListNumber">
    <w:name w:val="Table List Number"/>
    <w:basedOn w:val="ListNumber"/>
    <w:rsid w:val="00A14A51"/>
    <w:pPr>
      <w:numPr>
        <w:numId w:val="0"/>
      </w:numPr>
    </w:pPr>
  </w:style>
  <w:style w:type="paragraph" w:styleId="TOC4">
    <w:name w:val="toc 4"/>
    <w:basedOn w:val="TOCBase"/>
    <w:next w:val="Normal"/>
    <w:semiHidden/>
    <w:rsid w:val="00A14A51"/>
    <w:pPr>
      <w:tabs>
        <w:tab w:val="right" w:leader="dot" w:pos="9071"/>
      </w:tabs>
      <w:ind w:left="1701"/>
    </w:pPr>
  </w:style>
  <w:style w:type="paragraph" w:customStyle="1" w:styleId="ListAlpha">
    <w:name w:val="List Alpha"/>
    <w:basedOn w:val="List"/>
    <w:rsid w:val="00A14A51"/>
    <w:pPr>
      <w:numPr>
        <w:numId w:val="10"/>
      </w:numPr>
    </w:pPr>
  </w:style>
  <w:style w:type="paragraph" w:customStyle="1" w:styleId="ListAlpha2">
    <w:name w:val="List Alpha 2"/>
    <w:basedOn w:val="List2"/>
    <w:rsid w:val="00A14A51"/>
    <w:pPr>
      <w:numPr>
        <w:numId w:val="9"/>
      </w:numPr>
    </w:pPr>
  </w:style>
  <w:style w:type="paragraph" w:styleId="List2">
    <w:name w:val="List 2"/>
    <w:basedOn w:val="BodyText"/>
    <w:rsid w:val="00A14A51"/>
    <w:pPr>
      <w:tabs>
        <w:tab w:val="left" w:pos="680"/>
      </w:tabs>
      <w:spacing w:before="60" w:after="60"/>
      <w:ind w:left="680" w:hanging="340"/>
    </w:pPr>
  </w:style>
  <w:style w:type="paragraph" w:styleId="List3">
    <w:name w:val="List 3"/>
    <w:basedOn w:val="BodyText"/>
    <w:rsid w:val="00A14A51"/>
    <w:pPr>
      <w:tabs>
        <w:tab w:val="left" w:pos="1021"/>
      </w:tabs>
      <w:spacing w:before="60" w:after="60"/>
      <w:ind w:left="1020" w:hanging="340"/>
    </w:pPr>
  </w:style>
  <w:style w:type="paragraph" w:styleId="List4">
    <w:name w:val="List 4"/>
    <w:basedOn w:val="BodyText"/>
    <w:rsid w:val="00A14A51"/>
    <w:pPr>
      <w:tabs>
        <w:tab w:val="left" w:pos="1361"/>
      </w:tabs>
      <w:spacing w:before="60" w:after="60"/>
      <w:ind w:left="1361" w:hanging="340"/>
    </w:pPr>
  </w:style>
  <w:style w:type="paragraph" w:styleId="List5">
    <w:name w:val="List 5"/>
    <w:basedOn w:val="BodyText"/>
    <w:rsid w:val="00A14A51"/>
    <w:pPr>
      <w:tabs>
        <w:tab w:val="left" w:pos="1701"/>
      </w:tabs>
      <w:spacing w:before="60" w:after="60"/>
      <w:ind w:left="1701" w:hanging="340"/>
    </w:pPr>
  </w:style>
  <w:style w:type="paragraph" w:styleId="ListBullet4">
    <w:name w:val="List Bullet 4"/>
    <w:basedOn w:val="List4"/>
    <w:rsid w:val="00A14A51"/>
    <w:pPr>
      <w:numPr>
        <w:numId w:val="4"/>
      </w:numPr>
      <w:tabs>
        <w:tab w:val="clear" w:pos="1361"/>
      </w:tabs>
    </w:pPr>
  </w:style>
  <w:style w:type="paragraph" w:styleId="ListBullet5">
    <w:name w:val="List Bullet 5"/>
    <w:basedOn w:val="List5"/>
    <w:rsid w:val="00A14A51"/>
    <w:pPr>
      <w:numPr>
        <w:numId w:val="5"/>
      </w:numPr>
    </w:pPr>
  </w:style>
  <w:style w:type="paragraph" w:styleId="ListContinue2">
    <w:name w:val="List Continue 2"/>
    <w:basedOn w:val="List2"/>
    <w:rsid w:val="00A14A51"/>
    <w:pPr>
      <w:ind w:firstLine="0"/>
    </w:pPr>
  </w:style>
  <w:style w:type="paragraph" w:styleId="ListContinue3">
    <w:name w:val="List Continue 3"/>
    <w:basedOn w:val="List3"/>
    <w:rsid w:val="00A14A51"/>
    <w:pPr>
      <w:ind w:left="1021" w:firstLine="0"/>
    </w:pPr>
  </w:style>
  <w:style w:type="paragraph" w:styleId="ListContinue4">
    <w:name w:val="List Continue 4"/>
    <w:basedOn w:val="List4"/>
    <w:rsid w:val="00A14A51"/>
    <w:pPr>
      <w:ind w:firstLine="0"/>
    </w:pPr>
  </w:style>
  <w:style w:type="paragraph" w:styleId="ListContinue5">
    <w:name w:val="List Continue 5"/>
    <w:basedOn w:val="List5"/>
    <w:rsid w:val="00A14A51"/>
    <w:pPr>
      <w:ind w:firstLine="0"/>
    </w:pPr>
  </w:style>
  <w:style w:type="paragraph" w:styleId="ListNumber3">
    <w:name w:val="List Number 3"/>
    <w:basedOn w:val="List3"/>
    <w:rsid w:val="00A14A51"/>
    <w:pPr>
      <w:numPr>
        <w:numId w:val="6"/>
      </w:numPr>
    </w:pPr>
  </w:style>
  <w:style w:type="paragraph" w:styleId="ListNumber4">
    <w:name w:val="List Number 4"/>
    <w:basedOn w:val="List4"/>
    <w:rsid w:val="00A14A51"/>
    <w:pPr>
      <w:numPr>
        <w:numId w:val="7"/>
      </w:numPr>
    </w:pPr>
  </w:style>
  <w:style w:type="paragraph" w:styleId="ListNumber5">
    <w:name w:val="List Number 5"/>
    <w:basedOn w:val="List5"/>
    <w:rsid w:val="00A14A51"/>
    <w:pPr>
      <w:numPr>
        <w:numId w:val="8"/>
      </w:numPr>
    </w:pPr>
  </w:style>
  <w:style w:type="paragraph" w:styleId="BlockText">
    <w:name w:val="Block Text"/>
    <w:basedOn w:val="Normal"/>
    <w:rsid w:val="00A14A51"/>
    <w:pPr>
      <w:spacing w:after="120"/>
      <w:ind w:left="1440" w:right="1440"/>
    </w:pPr>
  </w:style>
  <w:style w:type="character" w:customStyle="1" w:styleId="Subscript">
    <w:name w:val="Subscript"/>
    <w:basedOn w:val="DefaultParagraphFont"/>
    <w:rsid w:val="00A14A51"/>
    <w:rPr>
      <w:sz w:val="16"/>
      <w:vertAlign w:val="subscript"/>
    </w:rPr>
  </w:style>
  <w:style w:type="character" w:customStyle="1" w:styleId="Superscript">
    <w:name w:val="Superscript"/>
    <w:basedOn w:val="DefaultParagraphFont"/>
    <w:rsid w:val="00A14A51"/>
    <w:rPr>
      <w:sz w:val="16"/>
      <w:vertAlign w:val="superscript"/>
    </w:rPr>
  </w:style>
  <w:style w:type="character" w:customStyle="1" w:styleId="Symbols">
    <w:name w:val="Symbols"/>
    <w:basedOn w:val="DefaultParagraphFont"/>
    <w:rsid w:val="00A14A51"/>
    <w:rPr>
      <w:rFonts w:ascii="Symbol" w:hAnsi="Symbol"/>
    </w:rPr>
  </w:style>
  <w:style w:type="character" w:customStyle="1" w:styleId="MenuOptions">
    <w:name w:val="Menu Options"/>
    <w:basedOn w:val="DefaultParagraphFont"/>
    <w:rsid w:val="00A14A51"/>
    <w:rPr>
      <w:rFonts w:ascii="Arial Narrow" w:hAnsi="Arial Narrow"/>
      <w:smallCaps/>
    </w:rPr>
  </w:style>
  <w:style w:type="character" w:customStyle="1" w:styleId="Buttons">
    <w:name w:val="Buttons"/>
    <w:basedOn w:val="DefaultParagraphFont"/>
    <w:rsid w:val="00A14A51"/>
    <w:rPr>
      <w:b/>
    </w:rPr>
  </w:style>
  <w:style w:type="character" w:customStyle="1" w:styleId="Underlined">
    <w:name w:val="Underlined"/>
    <w:basedOn w:val="DefaultParagraphFont"/>
    <w:rsid w:val="00A14A51"/>
    <w:rPr>
      <w:u w:val="single"/>
    </w:rPr>
  </w:style>
  <w:style w:type="paragraph" w:customStyle="1" w:styleId="TableBodyTextRight">
    <w:name w:val="Table Body Text Right"/>
    <w:basedOn w:val="TableBodyText"/>
    <w:rsid w:val="00A14A51"/>
    <w:pPr>
      <w:widowControl w:val="0"/>
      <w:autoSpaceDE w:val="0"/>
      <w:autoSpaceDN w:val="0"/>
      <w:adjustRightInd w:val="0"/>
      <w:jc w:val="right"/>
    </w:pPr>
    <w:rPr>
      <w:rFonts w:cs="Arial"/>
      <w:szCs w:val="18"/>
    </w:rPr>
  </w:style>
  <w:style w:type="paragraph" w:customStyle="1" w:styleId="CopyrightText">
    <w:name w:val="Copyright Text"/>
    <w:basedOn w:val="BodyText"/>
    <w:rsid w:val="00A14A51"/>
    <w:rPr>
      <w:sz w:val="18"/>
    </w:rPr>
  </w:style>
  <w:style w:type="paragraph" w:customStyle="1" w:styleId="BodySmallRight">
    <w:name w:val="Body Small Right"/>
    <w:basedOn w:val="BodyTextRight"/>
    <w:rsid w:val="00A14A51"/>
    <w:rPr>
      <w:sz w:val="18"/>
      <w:szCs w:val="18"/>
    </w:rPr>
  </w:style>
  <w:style w:type="paragraph" w:customStyle="1" w:styleId="MarginEdition">
    <w:name w:val="Margin Edition"/>
    <w:basedOn w:val="MarginNote"/>
    <w:rsid w:val="00A14A51"/>
    <w:pPr>
      <w:spacing w:before="0" w:after="0"/>
    </w:pPr>
    <w:rPr>
      <w:rFonts w:ascii="Times New Roman" w:hAnsi="Times New Roman"/>
      <w:color w:val="999999"/>
    </w:rPr>
  </w:style>
  <w:style w:type="paragraph" w:customStyle="1" w:styleId="Spacer">
    <w:name w:val="Spacer"/>
    <w:basedOn w:val="Normal"/>
    <w:rsid w:val="00A14A51"/>
    <w:rPr>
      <w:sz w:val="2"/>
      <w:szCs w:val="2"/>
    </w:rPr>
  </w:style>
  <w:style w:type="character" w:customStyle="1" w:styleId="Small">
    <w:name w:val="Small"/>
    <w:basedOn w:val="DefaultParagraphFont"/>
    <w:rsid w:val="00A14A51"/>
    <w:rPr>
      <w:sz w:val="16"/>
    </w:rPr>
  </w:style>
  <w:style w:type="paragraph" w:customStyle="1" w:styleId="WideTable">
    <w:name w:val="Wide Table"/>
    <w:basedOn w:val="Normal"/>
    <w:rsid w:val="00A14A51"/>
    <w:pPr>
      <w:ind w:left="-1418"/>
    </w:pPr>
    <w:rPr>
      <w:sz w:val="2"/>
      <w:szCs w:val="2"/>
    </w:rPr>
  </w:style>
  <w:style w:type="character" w:styleId="PageNumber">
    <w:name w:val="page number"/>
    <w:basedOn w:val="DefaultParagraphFont"/>
    <w:rsid w:val="00A14A51"/>
  </w:style>
  <w:style w:type="paragraph" w:styleId="Quote">
    <w:name w:val="Quote"/>
    <w:basedOn w:val="Heading1"/>
    <w:link w:val="QuoteChar"/>
    <w:qFormat/>
    <w:rsid w:val="00A14A51"/>
    <w:rPr>
      <w:b w:val="0"/>
      <w:sz w:val="72"/>
      <w:szCs w:val="72"/>
      <w:lang w:val="en-NZ"/>
    </w:rPr>
  </w:style>
  <w:style w:type="character" w:customStyle="1" w:styleId="QuoteChar">
    <w:name w:val="Quote Char"/>
    <w:basedOn w:val="DefaultParagraphFont"/>
    <w:link w:val="Quote"/>
    <w:rsid w:val="00A14A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A51"/>
    <w:pPr>
      <w:pageBreakBefore/>
    </w:pPr>
  </w:style>
  <w:style w:type="paragraph" w:customStyle="1" w:styleId="Border">
    <w:name w:val="Border"/>
    <w:basedOn w:val="Normal"/>
    <w:qFormat/>
    <w:rsid w:val="00A14A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A51"/>
    <w:rPr>
      <w:b/>
      <w:bCs/>
      <w:i/>
      <w:iCs/>
      <w:color w:val="auto"/>
    </w:rPr>
  </w:style>
  <w:style w:type="paragraph" w:styleId="IntenseQuote">
    <w:name w:val="Intense Quote"/>
    <w:basedOn w:val="Normal"/>
    <w:next w:val="Normal"/>
    <w:link w:val="IntenseQuoteChar"/>
    <w:uiPriority w:val="30"/>
    <w:qFormat/>
    <w:rsid w:val="00A14A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A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4A51"/>
    <w:rPr>
      <w:smallCaps/>
      <w:color w:val="auto"/>
      <w:u w:val="single"/>
    </w:rPr>
  </w:style>
  <w:style w:type="character" w:styleId="IntenseReference">
    <w:name w:val="Intense Reference"/>
    <w:basedOn w:val="DefaultParagraphFont"/>
    <w:uiPriority w:val="32"/>
    <w:qFormat/>
    <w:rsid w:val="00A14A51"/>
    <w:rPr>
      <w:b/>
      <w:bCs/>
      <w:smallCaps/>
      <w:color w:val="auto"/>
      <w:spacing w:val="5"/>
      <w:u w:val="single"/>
    </w:rPr>
  </w:style>
  <w:style w:type="paragraph" w:customStyle="1" w:styleId="2ColumnHeading">
    <w:name w:val="2Column Heading"/>
    <w:basedOn w:val="BodyText"/>
    <w:qFormat/>
    <w:rsid w:val="00A14A51"/>
    <w:pPr>
      <w:spacing w:after="60"/>
      <w:ind w:left="-2268"/>
    </w:pPr>
    <w:rPr>
      <w:b/>
    </w:rPr>
  </w:style>
  <w:style w:type="paragraph" w:customStyle="1" w:styleId="Heading1TOC">
    <w:name w:val="Heading1 TOC"/>
    <w:basedOn w:val="Normal"/>
    <w:qFormat/>
    <w:rsid w:val="00A14A51"/>
    <w:pPr>
      <w:spacing w:before="240" w:after="120"/>
    </w:pPr>
    <w:rPr>
      <w:rFonts w:ascii="Times New Roman" w:hAnsi="Times New Roman"/>
      <w:b/>
      <w:sz w:val="32"/>
    </w:rPr>
  </w:style>
  <w:style w:type="paragraph" w:customStyle="1" w:styleId="Heading2TOC">
    <w:name w:val="Heading2 TOC"/>
    <w:basedOn w:val="Normal"/>
    <w:qFormat/>
    <w:rsid w:val="00A14A51"/>
    <w:pPr>
      <w:spacing w:before="240" w:after="60"/>
    </w:pPr>
    <w:rPr>
      <w:rFonts w:ascii="Times New Roman" w:hAnsi="Times New Roman"/>
      <w:b/>
      <w:sz w:val="28"/>
    </w:rPr>
  </w:style>
  <w:style w:type="character" w:customStyle="1" w:styleId="Underline">
    <w:name w:val="Underline"/>
    <w:basedOn w:val="DefaultParagraphFont"/>
    <w:qFormat/>
    <w:rsid w:val="00A14A51"/>
    <w:rPr>
      <w:u w:val="single"/>
    </w:rPr>
  </w:style>
  <w:style w:type="character" w:customStyle="1" w:styleId="BoldandItalics">
    <w:name w:val="Bold and Italics"/>
    <w:qFormat/>
    <w:rsid w:val="00A14A51"/>
    <w:rPr>
      <w:b/>
      <w:i/>
      <w:u w:val="none"/>
    </w:rPr>
  </w:style>
  <w:style w:type="paragraph" w:styleId="BalloonText">
    <w:name w:val="Balloon Text"/>
    <w:basedOn w:val="Normal"/>
    <w:link w:val="BalloonTextChar"/>
    <w:rsid w:val="00A14A51"/>
    <w:rPr>
      <w:rFonts w:ascii="Tahoma" w:hAnsi="Tahoma" w:cs="Tahoma"/>
      <w:sz w:val="16"/>
      <w:szCs w:val="16"/>
    </w:rPr>
  </w:style>
  <w:style w:type="character" w:customStyle="1" w:styleId="BalloonTextChar">
    <w:name w:val="Balloon Text Char"/>
    <w:basedOn w:val="DefaultParagraphFont"/>
    <w:link w:val="BalloonText"/>
    <w:rsid w:val="00A14A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4A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4A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4A51"/>
    <w:rPr>
      <w:b/>
      <w:color w:val="660033"/>
      <w:spacing w:val="0"/>
    </w:rPr>
  </w:style>
  <w:style w:type="paragraph" w:customStyle="1" w:styleId="Nameditemlist">
    <w:name w:val="Named item list"/>
    <w:basedOn w:val="BodyText"/>
    <w:qFormat/>
    <w:rsid w:val="00A14A51"/>
    <w:pPr>
      <w:tabs>
        <w:tab w:val="left" w:pos="2835"/>
      </w:tabs>
      <w:ind w:left="2835" w:hanging="2835"/>
    </w:pPr>
  </w:style>
  <w:style w:type="paragraph" w:customStyle="1" w:styleId="BodyTextnopadding">
    <w:name w:val="Body Text no padding"/>
    <w:basedOn w:val="BodyText"/>
    <w:qFormat/>
    <w:rsid w:val="00A14A51"/>
    <w:pPr>
      <w:spacing w:before="0" w:after="0"/>
    </w:pPr>
  </w:style>
  <w:style w:type="paragraph" w:customStyle="1" w:styleId="BodyTextBold">
    <w:name w:val="Body Text Bold"/>
    <w:basedOn w:val="BodyText"/>
    <w:qFormat/>
    <w:rsid w:val="00A14A51"/>
    <w:rPr>
      <w:b/>
    </w:rPr>
  </w:style>
  <w:style w:type="character" w:styleId="Hyperlink">
    <w:name w:val="Hyperlink"/>
    <w:basedOn w:val="DefaultParagraphFont"/>
    <w:uiPriority w:val="99"/>
    <w:unhideWhenUsed/>
    <w:rsid w:val="00C33A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1055</Words>
  <Characters>6891</Characters>
  <Application>Microsoft Office Word</Application>
  <DocSecurity>0</DocSecurity>
  <Lines>229</Lines>
  <Paragraphs>149</Paragraphs>
  <ScaleCrop>false</ScaleCrop>
  <Company>Author-it Software Corporation Ltd.</Company>
  <LinksUpToDate>false</LinksUpToDate>
  <CharactersWithSpaces>7797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HLTPAT004 Collect pathology specimens other than blood</dc:title>
  <dc:subject>Approved</dc:subject>
  <dc:creator>HumanAbility</dc:creator>
  <cp:keywords>Release: 1</cp:keywords>
  <dc:description>Review Date: 12 April 2008</dc:description>
  <cp:lastModifiedBy>HSD_TPCMSd.prod</cp:lastModifiedBy>
  <cp:revision>3</cp:revision>
  <dcterms:created xsi:type="dcterms:W3CDTF">2025-03-01T15:54:00Z</dcterms:created>
  <dcterms:modified xsi:type="dcterms:W3CDTF">2025-03-01T15:54:00Z</dcterms:modified>
</cp:coreProperties>
</file>