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6894" w:rsidP="000A6894">
      <w:pPr>
        <w:pStyle w:val="Title"/>
      </w:pPr>
      <w:r>
        <w:fldChar w:fldCharType="begin"/>
      </w:r>
      <w:r>
        <w:instrText xml:space="preserve"> TITLE   \* MERGEFORMAT </w:instrText>
      </w:r>
      <w:r>
        <w:fldChar w:fldCharType="separate"/>
      </w:r>
      <w:r>
        <w:t>HLTPAT002 Perform venous blood collections</w:t>
      </w:r>
      <w:r>
        <w:fldChar w:fldCharType="end"/>
      </w:r>
    </w:p>
    <w:p w:rsidR="000A6894" w:rsidP="000A6894">
      <w:pPr>
        <w:pStyle w:val="Version"/>
        <w:sectPr w:rsidSect="003029C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029C5" w:rsidP="003029C5">
      <w:pPr>
        <w:pStyle w:val="SuperHeading"/>
      </w:pPr>
      <w:r w:rsidRPr="003029C5">
        <w:t>HLTPAT002 Perform venous blood collections</w:t>
      </w:r>
    </w:p>
    <w:p w:rsidR="00000000" w:rsidRPr="003029C5" w:rsidP="003029C5">
      <w:pPr>
        <w:pStyle w:val="Heading1"/>
      </w:pPr>
      <w:bookmarkStart w:id="1" w:name="O_1274969"/>
      <w:bookmarkEnd w:id="1"/>
      <w:r w:rsidRPr="003029C5">
        <w:t>Modification History</w:t>
      </w:r>
    </w:p>
    <w:tbl>
      <w:tblPr>
        <w:tblW w:w="0" w:type="auto"/>
        <w:tblLayout w:type="fixed"/>
        <w:tblCellMar>
          <w:left w:w="62" w:type="dxa"/>
          <w:right w:w="62" w:type="dxa"/>
        </w:tblCellMar>
        <w:tblLook w:val="0000"/>
      </w:tblPr>
      <w:tblGrid>
        <w:gridCol w:w="2790"/>
        <w:gridCol w:w="6344"/>
      </w:tblGrid>
      <w:tr w:rsidTr="003029C5">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29C5" w:rsidP="003029C5">
            <w:pPr>
              <w:pStyle w:val="BodyText"/>
            </w:pPr>
            <w:r w:rsidRPr="003029C5">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29C5">
            <w:pPr>
              <w:pStyle w:val="BodyText"/>
              <w:rPr>
                <w:lang w:val="en-NZ"/>
              </w:rPr>
            </w:pPr>
            <w:r w:rsidRPr="003029C5">
              <w:rPr>
                <w:rStyle w:val="SpecialBold"/>
              </w:rPr>
              <w:t>Comments</w:t>
            </w:r>
          </w:p>
        </w:tc>
      </w:tr>
      <w:tr w:rsidTr="003029C5">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29C5">
            <w:pPr>
              <w:pStyle w:val="BodyText"/>
              <w:rPr>
                <w:lang w:val="en-NZ"/>
              </w:rPr>
            </w:pPr>
            <w:r w:rsidRPr="003029C5">
              <w:t>Release 2</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29C5">
            <w:pPr>
              <w:pStyle w:val="BodyText"/>
              <w:rPr>
                <w:lang w:val="en-NZ"/>
              </w:rPr>
            </w:pPr>
            <w:r w:rsidRPr="003029C5">
              <w:t>Update to correct minor typographical error. Release 2 is equivalent to release 1.</w:t>
            </w:r>
          </w:p>
        </w:tc>
      </w:tr>
      <w:tr w:rsidTr="003029C5">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29C5">
            <w:pPr>
              <w:pStyle w:val="BodyText"/>
              <w:rPr>
                <w:lang w:val="en-NZ"/>
              </w:rPr>
            </w:pPr>
            <w:r w:rsidRPr="003029C5">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29C5" w:rsidP="003029C5">
            <w:pPr>
              <w:pStyle w:val="BodyText"/>
            </w:pPr>
            <w:r w:rsidRPr="003029C5">
              <w:t xml:space="preserve">This version was released in </w:t>
            </w:r>
            <w:r w:rsidRPr="003029C5">
              <w:rPr>
                <w:rStyle w:val="Emphasis"/>
              </w:rPr>
              <w:t>HLT Health Training Package release 2.0</w:t>
            </w:r>
            <w:r w:rsidRPr="003029C5">
              <w:t xml:space="preserve"> and meets the requirements of the 2012 Stand</w:t>
            </w:r>
            <w:r w:rsidRPr="003029C5">
              <w:t>ards for Training Packages.</w:t>
            </w:r>
          </w:p>
          <w:p w:rsidR="00000000" w:rsidRPr="003029C5" w:rsidP="003029C5">
            <w:pPr>
              <w:pStyle w:val="BodyText"/>
            </w:pPr>
            <w:r w:rsidRPr="003029C5">
              <w:t>Some content also in HLTPAT003. Significant changes to the elements and performance criteria. New evidence requirements for assessment, including volume and frequency requirements. Significant change to knowledge evidence. Minim</w:t>
            </w:r>
            <w:r w:rsidRPr="003029C5">
              <w:t>um work hours added.</w:t>
            </w:r>
          </w:p>
        </w:tc>
      </w:tr>
    </w:tbl>
    <w:p w:rsidR="00000000" w:rsidRPr="003029C5" w:rsidP="003029C5">
      <w:pPr>
        <w:pStyle w:val="BodyText"/>
      </w:pPr>
    </w:p>
    <w:p w:rsidR="00000000" w:rsidRPr="003029C5" w:rsidP="003029C5">
      <w:pPr>
        <w:pStyle w:val="AllowPageBreak"/>
      </w:pPr>
    </w:p>
    <w:p w:rsidR="00000000" w:rsidRPr="003029C5" w:rsidP="003029C5">
      <w:pPr>
        <w:pStyle w:val="Heading1"/>
      </w:pPr>
      <w:bookmarkStart w:id="2" w:name="O_1274968"/>
      <w:bookmarkEnd w:id="2"/>
      <w:r w:rsidRPr="003029C5">
        <w:t>Application</w:t>
      </w:r>
    </w:p>
    <w:p w:rsidR="00000000" w:rsidRPr="003029C5" w:rsidP="000A6894">
      <w:pPr>
        <w:pStyle w:val="BodyText"/>
      </w:pPr>
      <w:r w:rsidRPr="003029C5">
        <w:t>This unit describes the skills and knowledge required to confirm collection requirements, prepare client and equipment, and perform routine blood collections using venous blood collection.</w:t>
      </w:r>
    </w:p>
    <w:p w:rsidR="00000000" w:rsidRPr="003029C5" w:rsidP="000A6894">
      <w:pPr>
        <w:pStyle w:val="BodyText"/>
      </w:pPr>
      <w:r w:rsidRPr="003029C5">
        <w:t>This unit ap</w:t>
      </w:r>
      <w:r w:rsidRPr="003029C5">
        <w:t>plies to any individual for whom blood collection is part of the job role. They may be working in collection centres, in hospitals or in other health care environments.</w:t>
      </w:r>
    </w:p>
    <w:p w:rsidR="00000000" w:rsidRPr="003029C5" w:rsidP="000A6894">
      <w:pPr>
        <w:pStyle w:val="BodyText"/>
      </w:pPr>
      <w:r w:rsidRPr="003029C5">
        <w:t>This unit relates to collections from adults of varied ages and genders, adolescents a</w:t>
      </w:r>
      <w:r w:rsidRPr="003029C5">
        <w:t xml:space="preserve">nd children over 5 years of age. It does not include collections from babies, neonates, arterial collections or collections made via artificial access devices such as central lines, peripherally inserted central catheter (PICC) lines, or intra venous (IV) </w:t>
      </w:r>
      <w:r w:rsidRPr="003029C5">
        <w:t>catheter.</w:t>
      </w:r>
    </w:p>
    <w:p w:rsidR="00000000" w:rsidRPr="000A6894" w:rsidP="000A6894">
      <w:pPr>
        <w:pStyle w:val="BodyText"/>
        <w:rPr>
          <w:i/>
        </w:rPr>
      </w:pPr>
      <w:r w:rsidRPr="000A6894">
        <w:rPr>
          <w:rStyle w:val="Emphasis"/>
        </w:rPr>
        <w:t>The skills in this unit must be applied in accordance with Commonwealth and State/Territory legislation, Australian/New Zealand standards and industry codes of practice.</w:t>
      </w:r>
    </w:p>
    <w:p w:rsidR="00000000" w:rsidRPr="003029C5" w:rsidP="003029C5">
      <w:pPr>
        <w:pStyle w:val="Heading1"/>
      </w:pPr>
      <w:bookmarkStart w:id="3" w:name="O_1274967"/>
      <w:bookmarkEnd w:id="3"/>
      <w:r w:rsidRPr="003029C5">
        <w:t>Elements and Performance Criteria</w:t>
      </w:r>
    </w:p>
    <w:tbl>
      <w:tblPr>
        <w:tblW w:w="0" w:type="auto"/>
        <w:tblLayout w:type="fixed"/>
        <w:tblCellMar>
          <w:left w:w="62" w:type="dxa"/>
          <w:right w:w="62" w:type="dxa"/>
        </w:tblCellMar>
        <w:tblLook w:val="0000"/>
      </w:tblPr>
      <w:tblGrid>
        <w:gridCol w:w="3261"/>
        <w:gridCol w:w="5702"/>
      </w:tblGrid>
      <w:tr w:rsidTr="003029C5">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3029C5" w:rsidP="003029C5">
            <w:pPr>
              <w:pStyle w:val="BodyText"/>
            </w:pPr>
            <w:r w:rsidRPr="003029C5">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3029C5">
            <w:pPr>
              <w:pStyle w:val="BodyText"/>
              <w:rPr>
                <w:lang w:val="en-NZ"/>
              </w:rPr>
            </w:pPr>
            <w:r w:rsidRPr="003029C5">
              <w:rPr>
                <w:rStyle w:val="SpecialBold"/>
              </w:rPr>
              <w:t>PERFORMANCE CRITERIA</w:t>
            </w:r>
          </w:p>
        </w:tc>
      </w:tr>
      <w:tr w:rsidTr="003029C5">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3029C5" w:rsidP="003029C5">
            <w:pPr>
              <w:pStyle w:val="BodyText"/>
            </w:pPr>
            <w:r w:rsidRPr="003029C5">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3029C5">
            <w:pPr>
              <w:pStyle w:val="BodyText"/>
              <w:rPr>
                <w:lang w:val="en-NZ"/>
              </w:rPr>
            </w:pPr>
            <w:r w:rsidRPr="003029C5">
              <w:rPr>
                <w:rStyle w:val="Emphasis"/>
              </w:rPr>
              <w:t>Performance criteria describe the performance needed to demonstrate achievement of the element.</w:t>
            </w:r>
          </w:p>
        </w:tc>
      </w:tr>
      <w:tr w:rsidTr="003029C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029C5">
            <w:pPr>
              <w:pStyle w:val="BodyText"/>
              <w:rPr>
                <w:lang w:val="en-NZ"/>
              </w:rPr>
            </w:pPr>
            <w:r w:rsidRPr="003029C5">
              <w:t xml:space="preserve">1. Greet client and confirm pre-test criteria </w:t>
            </w:r>
          </w:p>
        </w:tc>
        <w:tc>
          <w:tcPr>
            <w:tcW w:w="5702" w:type="dxa"/>
            <w:tcBorders>
              <w:top w:val="nil"/>
              <w:left w:val="nil"/>
              <w:bottom w:val="nil"/>
              <w:right w:val="nil"/>
            </w:tcBorders>
            <w:tcMar>
              <w:top w:w="0" w:type="dxa"/>
              <w:left w:w="62" w:type="dxa"/>
              <w:bottom w:w="0" w:type="dxa"/>
              <w:right w:w="62" w:type="dxa"/>
            </w:tcMar>
          </w:tcPr>
          <w:p w:rsidR="00000000" w:rsidRPr="003029C5" w:rsidP="003029C5">
            <w:pPr>
              <w:pStyle w:val="BodyText"/>
            </w:pPr>
            <w:r w:rsidRPr="003029C5">
              <w:t>1.1 Greet client courteously and identify self</w:t>
            </w:r>
          </w:p>
          <w:p w:rsidR="00000000" w:rsidRPr="003029C5" w:rsidP="003029C5">
            <w:pPr>
              <w:pStyle w:val="BodyText"/>
            </w:pPr>
            <w:r w:rsidRPr="003029C5">
              <w:t xml:space="preserve">1.2 </w:t>
            </w:r>
            <w:r w:rsidRPr="003029C5">
              <w:t xml:space="preserve">Identify client following organisation and regulatory procedures </w:t>
            </w:r>
          </w:p>
          <w:p w:rsidR="00000000" w:rsidRPr="003029C5" w:rsidP="003029C5">
            <w:pPr>
              <w:pStyle w:val="BodyText"/>
            </w:pPr>
            <w:r w:rsidRPr="003029C5">
              <w:t>1.3 Confirm that client meets pre-testing criteria for required collection</w:t>
            </w:r>
          </w:p>
          <w:p w:rsidR="00000000" w:rsidRPr="003029C5" w:rsidP="003029C5">
            <w:pPr>
              <w:pStyle w:val="BodyText"/>
            </w:pPr>
            <w:r w:rsidRPr="003029C5">
              <w:t>1.4 Obtain, interpret and accurately record personal and clinical information in accordance with organisation polic</w:t>
            </w:r>
            <w:r w:rsidRPr="003029C5">
              <w:t>ies and procedures</w:t>
            </w:r>
          </w:p>
          <w:p w:rsidR="00000000" w:rsidRPr="003029C5" w:rsidP="003029C5">
            <w:pPr>
              <w:pStyle w:val="BodyText"/>
            </w:pPr>
            <w:r w:rsidRPr="003029C5">
              <w:t>1.5 Correctly explain collection procedure to client</w:t>
            </w:r>
          </w:p>
          <w:p w:rsidR="00000000" w:rsidP="003029C5">
            <w:pPr>
              <w:pStyle w:val="BodyText"/>
              <w:rPr>
                <w:lang w:val="en-NZ"/>
              </w:rPr>
            </w:pPr>
            <w:r w:rsidRPr="003029C5">
              <w:t>1.6 Obtain consent for collection procedure from client</w:t>
            </w:r>
          </w:p>
        </w:tc>
      </w:tr>
      <w:tr w:rsidTr="003029C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029C5">
            <w:pPr>
              <w:pStyle w:val="BodyText"/>
              <w:rPr>
                <w:lang w:val="en-NZ"/>
              </w:rPr>
            </w:pPr>
          </w:p>
        </w:tc>
      </w:tr>
      <w:tr w:rsidTr="003029C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3029C5" w:rsidP="003029C5">
            <w:pPr>
              <w:pStyle w:val="BodyText"/>
            </w:pPr>
            <w:r w:rsidRPr="003029C5">
              <w:t>2. Prepare for venous blood collection procedure</w:t>
            </w:r>
          </w:p>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3029C5" w:rsidP="003029C5">
            <w:pPr>
              <w:pStyle w:val="BodyText"/>
            </w:pPr>
            <w:r w:rsidRPr="003029C5">
              <w:t>2.1 Select appropriate collection site based on client evaluation</w:t>
            </w:r>
          </w:p>
          <w:p w:rsidR="00000000" w:rsidRPr="003029C5" w:rsidP="003029C5">
            <w:pPr>
              <w:pStyle w:val="BodyText"/>
            </w:pPr>
            <w:r w:rsidRPr="003029C5">
              <w:t>2.2 Assemble equipment appropriate to test requested site selected</w:t>
            </w:r>
          </w:p>
          <w:p w:rsidR="00000000" w:rsidRPr="003029C5" w:rsidP="003029C5">
            <w:pPr>
              <w:pStyle w:val="BodyText"/>
            </w:pPr>
            <w:r w:rsidRPr="003029C5">
              <w:t>2.3 Position client to ensure comfort and safety of both client and collector</w:t>
            </w:r>
          </w:p>
          <w:p w:rsidR="00000000" w:rsidP="003029C5">
            <w:pPr>
              <w:pStyle w:val="BodyText"/>
              <w:rPr>
                <w:lang w:val="en-NZ"/>
              </w:rPr>
            </w:pPr>
            <w:r w:rsidRPr="003029C5">
              <w:t>2.4 Identify when assistance may be needed and seek help if required</w:t>
            </w:r>
          </w:p>
        </w:tc>
      </w:tr>
      <w:tr w:rsidTr="003029C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029C5">
            <w:pPr>
              <w:pStyle w:val="BodyText"/>
              <w:rPr>
                <w:lang w:val="en-NZ"/>
              </w:rPr>
            </w:pPr>
          </w:p>
        </w:tc>
      </w:tr>
      <w:tr w:rsidTr="003029C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029C5">
            <w:pPr>
              <w:pStyle w:val="BodyText"/>
              <w:rPr>
                <w:lang w:val="en-NZ"/>
              </w:rPr>
            </w:pPr>
            <w:r w:rsidRPr="003029C5">
              <w:t xml:space="preserve">3. Draw blood </w:t>
            </w:r>
          </w:p>
        </w:tc>
        <w:tc>
          <w:tcPr>
            <w:tcW w:w="5702" w:type="dxa"/>
            <w:tcBorders>
              <w:top w:val="nil"/>
              <w:left w:val="nil"/>
              <w:bottom w:val="nil"/>
              <w:right w:val="nil"/>
            </w:tcBorders>
            <w:tcMar>
              <w:top w:w="0" w:type="dxa"/>
              <w:left w:w="62" w:type="dxa"/>
              <w:bottom w:w="0" w:type="dxa"/>
              <w:right w:w="62" w:type="dxa"/>
            </w:tcMar>
          </w:tcPr>
          <w:p w:rsidR="00000000" w:rsidRPr="003029C5" w:rsidP="003029C5">
            <w:pPr>
              <w:pStyle w:val="BodyText"/>
            </w:pPr>
            <w:r w:rsidRPr="003029C5">
              <w:t xml:space="preserve">3.1 Adopt standard and </w:t>
            </w:r>
            <w:r w:rsidRPr="003029C5">
              <w:t>additional infection control guidelines and precautions according to organisation documented procedure</w:t>
            </w:r>
          </w:p>
          <w:p w:rsidR="00000000" w:rsidRPr="003029C5" w:rsidP="003029C5">
            <w:pPr>
              <w:pStyle w:val="BodyText"/>
            </w:pPr>
            <w:r w:rsidRPr="003029C5">
              <w:t>3.2 Clean site with approved cleansing agent and allow to air dry prior to collection</w:t>
            </w:r>
          </w:p>
          <w:p w:rsidR="00000000" w:rsidRPr="003029C5" w:rsidP="003029C5">
            <w:pPr>
              <w:pStyle w:val="BodyText"/>
            </w:pPr>
            <w:r w:rsidRPr="003029C5">
              <w:t>3.3 Apply and remove/loosen tourniquet according to requirements of</w:t>
            </w:r>
            <w:r w:rsidRPr="003029C5">
              <w:t xml:space="preserve"> equipment being used</w:t>
            </w:r>
          </w:p>
          <w:p w:rsidR="00000000" w:rsidRPr="003029C5" w:rsidP="003029C5">
            <w:pPr>
              <w:pStyle w:val="BodyText"/>
            </w:pPr>
            <w:r w:rsidRPr="003029C5">
              <w:t>3.4 Confirm suitable vein through palpation of site and clean skin according to organisation documented procedure</w:t>
            </w:r>
          </w:p>
          <w:p w:rsidR="00000000" w:rsidRPr="003029C5" w:rsidP="003029C5">
            <w:pPr>
              <w:pStyle w:val="BodyText"/>
            </w:pPr>
            <w:r w:rsidRPr="003029C5">
              <w:t>3.5 Anchor vein below the site according to documented procedure</w:t>
            </w:r>
          </w:p>
          <w:p w:rsidR="00000000" w:rsidRPr="003029C5" w:rsidP="003029C5">
            <w:pPr>
              <w:pStyle w:val="BodyText"/>
            </w:pPr>
            <w:r w:rsidRPr="003029C5">
              <w:t>3.6 Insert needle at approved angle of 30 degrees or le</w:t>
            </w:r>
            <w:r w:rsidRPr="003029C5">
              <w:t>ss</w:t>
            </w:r>
          </w:p>
          <w:p w:rsidR="00000000" w:rsidRPr="003029C5" w:rsidP="003029C5">
            <w:pPr>
              <w:pStyle w:val="BodyText"/>
            </w:pPr>
            <w:r w:rsidRPr="003029C5">
              <w:t xml:space="preserve">3.7 Collect correct volume of blood in appropriate collection tubes in the approved order of draw, as </w:t>
            </w:r>
            <w:r w:rsidRPr="003029C5">
              <w:t>recommended by the manufacturer</w:t>
            </w:r>
          </w:p>
          <w:p w:rsidR="00000000" w:rsidRPr="003029C5" w:rsidP="003029C5">
            <w:pPr>
              <w:pStyle w:val="BodyText"/>
            </w:pPr>
            <w:r w:rsidRPr="003029C5">
              <w:t xml:space="preserve">3.8 Once correct amount collected, withdraw needle and apply direct pressure to site using dry cotton swab for minimum </w:t>
            </w:r>
            <w:r w:rsidRPr="003029C5">
              <w:t>of 2 minutes and until bleeding has visibly stopped</w:t>
            </w:r>
          </w:p>
          <w:p w:rsidR="00000000" w:rsidRPr="003029C5" w:rsidP="003029C5">
            <w:pPr>
              <w:pStyle w:val="BodyText"/>
            </w:pPr>
            <w:r w:rsidRPr="003029C5">
              <w:t>3.9 Dispose of needle immediately and safely using approved sharps disposal device</w:t>
            </w:r>
          </w:p>
          <w:p w:rsidR="00000000" w:rsidRPr="003029C5" w:rsidP="003029C5">
            <w:pPr>
              <w:pStyle w:val="BodyText"/>
            </w:pPr>
            <w:r w:rsidRPr="003029C5">
              <w:t>3.10 Invert collection tubes within timeframe required as recommended by manufacturer</w:t>
            </w:r>
          </w:p>
          <w:p w:rsidR="00000000" w:rsidP="003029C5">
            <w:pPr>
              <w:pStyle w:val="BodyText"/>
              <w:rPr>
                <w:lang w:val="en-NZ"/>
              </w:rPr>
            </w:pPr>
            <w:r w:rsidRPr="003029C5">
              <w:t>3.11 Observe client before, during and after collection for potential adverse effects and respond according to procedure</w:t>
            </w:r>
          </w:p>
        </w:tc>
      </w:tr>
      <w:tr w:rsidTr="003029C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029C5">
            <w:pPr>
              <w:pStyle w:val="BodyText"/>
              <w:rPr>
                <w:lang w:val="en-NZ"/>
              </w:rPr>
            </w:pPr>
          </w:p>
        </w:tc>
      </w:tr>
      <w:tr w:rsidTr="003029C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029C5">
            <w:pPr>
              <w:pStyle w:val="BodyText"/>
              <w:rPr>
                <w:lang w:val="en-NZ"/>
              </w:rPr>
            </w:pPr>
            <w:r w:rsidRPr="003029C5">
              <w:t>4. Follow post-blood collection procedures</w:t>
            </w:r>
          </w:p>
        </w:tc>
        <w:tc>
          <w:tcPr>
            <w:tcW w:w="5702" w:type="dxa"/>
            <w:tcBorders>
              <w:top w:val="nil"/>
              <w:left w:val="nil"/>
              <w:bottom w:val="nil"/>
              <w:right w:val="nil"/>
            </w:tcBorders>
            <w:tcMar>
              <w:top w:w="0" w:type="dxa"/>
              <w:left w:w="62" w:type="dxa"/>
              <w:bottom w:w="0" w:type="dxa"/>
              <w:right w:w="62" w:type="dxa"/>
            </w:tcMar>
          </w:tcPr>
          <w:p w:rsidR="00000000" w:rsidRPr="003029C5" w:rsidP="003029C5">
            <w:pPr>
              <w:pStyle w:val="BodyText"/>
            </w:pPr>
            <w:r w:rsidRPr="003029C5">
              <w:t>4.1 Accurately label blood collection tubes in front of client with time and date of col</w:t>
            </w:r>
            <w:r w:rsidRPr="003029C5">
              <w:t>lection, client details and other required information following regulatory and organisational guidelines</w:t>
            </w:r>
          </w:p>
          <w:p w:rsidR="00000000" w:rsidRPr="003029C5" w:rsidP="003029C5">
            <w:pPr>
              <w:pStyle w:val="BodyText"/>
            </w:pPr>
            <w:r w:rsidRPr="003029C5">
              <w:t xml:space="preserve">4.2 Dispose of waste in accordance with infection control protocols and organisation policies and procedures </w:t>
            </w:r>
          </w:p>
          <w:p w:rsidR="00000000" w:rsidRPr="003029C5" w:rsidP="003029C5">
            <w:pPr>
              <w:pStyle w:val="BodyText"/>
            </w:pPr>
            <w:r w:rsidRPr="003029C5">
              <w:t>4.3 Confirm tube labelling information a</w:t>
            </w:r>
            <w:r w:rsidRPr="003029C5">
              <w:t>ccuracy with client</w:t>
            </w:r>
          </w:p>
          <w:p w:rsidR="00000000" w:rsidRPr="003029C5" w:rsidP="003029C5">
            <w:pPr>
              <w:pStyle w:val="BodyText"/>
            </w:pPr>
            <w:r w:rsidRPr="003029C5">
              <w:t>4.4 Confirm that site has visibly stopped bleeding after appropriate time lapse and apply dressing</w:t>
            </w:r>
          </w:p>
          <w:p w:rsidR="00000000" w:rsidRPr="003029C5" w:rsidP="003029C5">
            <w:pPr>
              <w:pStyle w:val="BodyText"/>
            </w:pPr>
            <w:r w:rsidRPr="003029C5">
              <w:t>4.5 Complete other collection documentation in accordance with organisation procedures</w:t>
            </w:r>
          </w:p>
          <w:p w:rsidR="00000000" w:rsidRPr="003029C5" w:rsidP="003029C5">
            <w:pPr>
              <w:pStyle w:val="BodyText"/>
            </w:pPr>
            <w:r w:rsidRPr="003029C5">
              <w:t xml:space="preserve">4.6 Provide client with correct post venepuncture </w:t>
            </w:r>
            <w:r w:rsidRPr="003029C5">
              <w:t>care instructions</w:t>
            </w:r>
          </w:p>
          <w:p w:rsidR="00000000" w:rsidRPr="003029C5" w:rsidP="003029C5">
            <w:pPr>
              <w:pStyle w:val="BodyText"/>
            </w:pPr>
            <w:r w:rsidRPr="003029C5">
              <w:t>4.7 Prepare collected samples for transit or store</w:t>
            </w:r>
            <w:r w:rsidRPr="003029C5">
              <w:rPr>
                <w:rStyle w:val="Emphasis"/>
              </w:rPr>
              <w:t xml:space="preserve"> </w:t>
            </w:r>
            <w:r w:rsidRPr="003029C5">
              <w:t xml:space="preserve">according to test and organisation requirements </w:t>
            </w:r>
          </w:p>
        </w:tc>
      </w:tr>
    </w:tbl>
    <w:p w:rsidR="000A6894" w:rsidP="003029C5">
      <w:pPr>
        <w:pStyle w:val="ListContinue"/>
      </w:pPr>
    </w:p>
    <w:p w:rsidR="000A6894" w:rsidP="003029C5">
      <w:pPr>
        <w:pStyle w:val="ListContinue"/>
      </w:pPr>
    </w:p>
    <w:p w:rsidR="00000000" w:rsidRPr="003029C5" w:rsidP="003029C5">
      <w:pPr>
        <w:pStyle w:val="Heading1"/>
      </w:pPr>
      <w:bookmarkStart w:id="4" w:name="O_1274966"/>
      <w:bookmarkEnd w:id="4"/>
      <w:r w:rsidRPr="003029C5">
        <w:t>Foundation Skills</w:t>
      </w:r>
    </w:p>
    <w:tbl>
      <w:tblPr>
        <w:tblW w:w="0" w:type="auto"/>
        <w:tblLayout w:type="fixed"/>
        <w:tblCellMar>
          <w:left w:w="62" w:type="dxa"/>
          <w:right w:w="62" w:type="dxa"/>
        </w:tblCellMar>
        <w:tblLook w:val="0000"/>
      </w:tblPr>
      <w:tblGrid>
        <w:gridCol w:w="8964"/>
      </w:tblGrid>
      <w:tr w:rsidTr="003029C5">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3029C5">
            <w:pPr>
              <w:pStyle w:val="BodyText"/>
              <w:rPr>
                <w:lang w:val="en-NZ"/>
              </w:rPr>
            </w:pPr>
            <w:r w:rsidRPr="003029C5">
              <w:rPr>
                <w:rStyle w:val="Emphasis"/>
              </w:rPr>
              <w:t xml:space="preserve">The </w:t>
            </w:r>
            <w:r w:rsidRPr="003029C5">
              <w:rPr>
                <w:rStyle w:val="Emphasis"/>
              </w:rPr>
              <w:t xml:space="preserve">Foundation Skills describe those required skills (language, literacy, numeracy and employment </w:t>
            </w:r>
            <w:r w:rsidRPr="003029C5">
              <w:t xml:space="preserve">skills) that are essential </w:t>
            </w:r>
            <w:r w:rsidRPr="003029C5">
              <w:rPr>
                <w:rStyle w:val="Emphasis"/>
              </w:rPr>
              <w:t>to performance.</w:t>
            </w:r>
          </w:p>
        </w:tc>
      </w:tr>
      <w:tr w:rsidTr="003029C5">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3029C5" w:rsidP="003029C5">
            <w:pPr>
              <w:pStyle w:val="BodyText"/>
            </w:pPr>
          </w:p>
          <w:p w:rsidR="00000000" w:rsidRPr="003029C5" w:rsidP="003029C5">
            <w:pPr>
              <w:pStyle w:val="BodyText"/>
            </w:pPr>
            <w:r w:rsidRPr="003029C5">
              <w:t>Foundation skills essential to performance are explicit in the performance criteria of this unit of competency.</w:t>
            </w:r>
          </w:p>
        </w:tc>
      </w:tr>
    </w:tbl>
    <w:p w:rsidR="000A6894" w:rsidP="003029C5">
      <w:pPr>
        <w:pStyle w:val="BodyText"/>
      </w:pPr>
    </w:p>
    <w:p w:rsidR="000A6894" w:rsidP="003029C5">
      <w:pPr>
        <w:pStyle w:val="BodyText"/>
      </w:pPr>
    </w:p>
    <w:p w:rsidR="00000000" w:rsidRPr="003029C5" w:rsidP="003029C5">
      <w:pPr>
        <w:pStyle w:val="Heading1"/>
      </w:pPr>
      <w:bookmarkStart w:id="5" w:name="O_1274965"/>
      <w:bookmarkEnd w:id="5"/>
      <w:r w:rsidRPr="003029C5">
        <w:t>Unit Mapping Information</w:t>
      </w:r>
    </w:p>
    <w:p w:rsidR="00000000" w:rsidRPr="003029C5" w:rsidP="000A6894">
      <w:pPr>
        <w:pStyle w:val="BodyText"/>
      </w:pPr>
      <w:r w:rsidRPr="003029C5">
        <w:t xml:space="preserve">No equivalent unit. </w:t>
      </w:r>
    </w:p>
    <w:p w:rsidR="00000000" w:rsidRPr="003029C5" w:rsidP="003029C5">
      <w:pPr>
        <w:pStyle w:val="Heading1"/>
      </w:pPr>
      <w:bookmarkStart w:id="6" w:name="O_1274970"/>
      <w:bookmarkEnd w:id="6"/>
      <w:r w:rsidRPr="003029C5">
        <w:t>Links</w:t>
      </w:r>
    </w:p>
    <w:p w:rsidR="00000000" w:rsidRPr="003029C5" w:rsidP="000A6894">
      <w:pPr>
        <w:pStyle w:val="BodyText"/>
      </w:pPr>
      <w:r w:rsidRPr="003029C5">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E8307C">
        <w:rPr>
          <w:rStyle w:val="Hyperlink"/>
        </w:rPr>
        <w:t>https://vetnet.gov.au/Pages/TrainingDocs.aspx?q=ced1390f-48d9-4ab0-bd50-b015e5485705</w:t>
      </w:r>
      <w:r>
        <w:fldChar w:fldCharType="end"/>
      </w:r>
    </w:p>
    <w:p w:rsidR="00000000" w:rsidRPr="003029C5" w:rsidP="000A6894">
      <w:pPr>
        <w:pStyle w:val="BodyText"/>
        <w:sectPr w:rsidSect="003029C5">
          <w:headerReference w:type="default" r:id="rId10"/>
          <w:footerReference w:type="default" r:id="rId11"/>
          <w:pgSz w:w="11908" w:h="16833"/>
          <w:pgMar w:top="1702" w:right="1418" w:bottom="1702" w:left="1418" w:header="992" w:footer="992" w:gutter="0"/>
          <w:cols w:space="720"/>
          <w:noEndnote/>
          <w:docGrid w:linePitch="299"/>
        </w:sectPr>
      </w:pPr>
    </w:p>
    <w:p w:rsidR="00000000" w:rsidRPr="003029C5" w:rsidP="003029C5">
      <w:pPr>
        <w:pStyle w:val="SuperHeading"/>
      </w:pPr>
      <w:r w:rsidRPr="003029C5">
        <w:t>Assessment Requirements for HLTPAT002 Perform venous blood collections</w:t>
      </w:r>
    </w:p>
    <w:p w:rsidR="00000000" w:rsidRPr="003029C5" w:rsidP="003029C5">
      <w:pPr>
        <w:pStyle w:val="Heading1"/>
      </w:pPr>
      <w:bookmarkStart w:id="7" w:name="O_1274963"/>
      <w:bookmarkEnd w:id="7"/>
      <w:r w:rsidRPr="003029C5">
        <w:t>Modification History</w:t>
      </w:r>
    </w:p>
    <w:tbl>
      <w:tblPr>
        <w:tblW w:w="0" w:type="auto"/>
        <w:tblLayout w:type="fixed"/>
        <w:tblCellMar>
          <w:left w:w="62" w:type="dxa"/>
          <w:right w:w="62" w:type="dxa"/>
        </w:tblCellMar>
        <w:tblLook w:val="0000"/>
      </w:tblPr>
      <w:tblGrid>
        <w:gridCol w:w="2790"/>
        <w:gridCol w:w="6344"/>
      </w:tblGrid>
      <w:tr w:rsidTr="003029C5">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29C5" w:rsidP="003029C5">
            <w:pPr>
              <w:pStyle w:val="BodyText"/>
            </w:pPr>
            <w:r w:rsidRPr="003029C5">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29C5">
            <w:pPr>
              <w:pStyle w:val="BodyText"/>
              <w:rPr>
                <w:lang w:val="en-NZ"/>
              </w:rPr>
            </w:pPr>
            <w:r w:rsidRPr="003029C5">
              <w:rPr>
                <w:rStyle w:val="SpecialBold"/>
              </w:rPr>
              <w:t>Comments</w:t>
            </w:r>
          </w:p>
        </w:tc>
      </w:tr>
      <w:tr w:rsidTr="003029C5">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29C5">
            <w:pPr>
              <w:pStyle w:val="BodyText"/>
              <w:rPr>
                <w:lang w:val="en-NZ"/>
              </w:rPr>
            </w:pPr>
            <w:r w:rsidRPr="003029C5">
              <w:t>Release 2</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29C5">
            <w:pPr>
              <w:pStyle w:val="BodyText"/>
              <w:rPr>
                <w:lang w:val="en-NZ"/>
              </w:rPr>
            </w:pPr>
            <w:r w:rsidRPr="003029C5">
              <w:t xml:space="preserve">Update to correct minor typographical error. Release 2 is equivalent to </w:t>
            </w:r>
            <w:r w:rsidRPr="003029C5">
              <w:t>release 1.</w:t>
            </w:r>
          </w:p>
        </w:tc>
      </w:tr>
      <w:tr w:rsidTr="003029C5">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29C5">
            <w:pPr>
              <w:pStyle w:val="BodyText"/>
              <w:rPr>
                <w:lang w:val="en-NZ"/>
              </w:rPr>
            </w:pPr>
            <w:r w:rsidRPr="003029C5">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29C5" w:rsidP="003029C5">
            <w:pPr>
              <w:pStyle w:val="BodyText"/>
            </w:pPr>
            <w:r w:rsidRPr="003029C5">
              <w:t xml:space="preserve">This version was released in </w:t>
            </w:r>
            <w:r w:rsidRPr="003029C5">
              <w:rPr>
                <w:rStyle w:val="Emphasis"/>
              </w:rPr>
              <w:t>HLT Health Training Package release 2.0</w:t>
            </w:r>
            <w:r w:rsidRPr="003029C5">
              <w:t xml:space="preserve"> and meets the requirements of the 2012 Standards for Training Packages.</w:t>
            </w:r>
          </w:p>
          <w:p w:rsidR="00000000" w:rsidRPr="003029C5" w:rsidP="003029C5">
            <w:pPr>
              <w:pStyle w:val="BodyText"/>
            </w:pPr>
            <w:r w:rsidRPr="003029C5">
              <w:t>Some content also in HLTPAT003. Significant changes to the elements and performance criteria.</w:t>
            </w:r>
            <w:r w:rsidRPr="003029C5">
              <w:t xml:space="preserve"> New evidence requirements for assessment, including volume and frequency requirements. Significant change to knowledge evidence. Minimum work hours added.</w:t>
            </w:r>
          </w:p>
        </w:tc>
      </w:tr>
    </w:tbl>
    <w:p w:rsidR="00000000" w:rsidRPr="003029C5" w:rsidP="003029C5">
      <w:pPr>
        <w:pStyle w:val="BodyText"/>
      </w:pPr>
    </w:p>
    <w:p w:rsidR="00000000" w:rsidRPr="003029C5" w:rsidP="003029C5">
      <w:pPr>
        <w:pStyle w:val="AllowPageBreak"/>
      </w:pPr>
    </w:p>
    <w:p w:rsidR="00000000" w:rsidRPr="003029C5" w:rsidP="003029C5">
      <w:pPr>
        <w:pStyle w:val="Heading1"/>
      </w:pPr>
      <w:bookmarkStart w:id="8" w:name="O_1274962"/>
      <w:bookmarkEnd w:id="8"/>
      <w:r w:rsidRPr="003029C5">
        <w:t>Performance Evidence</w:t>
      </w:r>
    </w:p>
    <w:p w:rsidR="00000000" w:rsidRPr="003029C5" w:rsidP="000A6894">
      <w:pPr>
        <w:pStyle w:val="BodyText"/>
      </w:pPr>
      <w:r w:rsidRPr="003029C5">
        <w:t>The candidate must show evidence of the ability to complete tasks outlined in elements and performance criteria of this unit, manage tasks and manage contingencies in the context of the job role. There must be evidence that the candidate has:</w:t>
      </w:r>
    </w:p>
    <w:p w:rsidR="00000000" w:rsidRPr="003029C5" w:rsidP="003029C5">
      <w:pPr>
        <w:pStyle w:val="ListBullet"/>
      </w:pPr>
      <w:r w:rsidRPr="003029C5">
        <w:t>performed the activities outlined in the performance criteria of this unit during a period of at least 35 hours of pathology collection work under the supervision of a person currently working in a phlebotomist role for at least 18 hours per fortnight</w:t>
      </w:r>
    </w:p>
    <w:p w:rsidR="00000000" w:rsidRPr="003029C5" w:rsidP="003029C5">
      <w:pPr>
        <w:pStyle w:val="ListBullet"/>
      </w:pPr>
      <w:r w:rsidRPr="003029C5">
        <w:t>foll</w:t>
      </w:r>
      <w:r w:rsidRPr="003029C5">
        <w:t>owed established technical, infection control and safety procedures and collected blood suitable for testing using venous blood collection with a maximum of two attempts from at least 20 different people comprising adults of varied ages</w:t>
      </w:r>
    </w:p>
    <w:p w:rsidR="00000000" w:rsidRPr="003029C5" w:rsidP="003029C5">
      <w:pPr>
        <w:pStyle w:val="ListBullet"/>
      </w:pPr>
      <w:r w:rsidRPr="003029C5">
        <w:t xml:space="preserve">used the following </w:t>
      </w:r>
      <w:r w:rsidRPr="003029C5">
        <w:t>methods of collection:</w:t>
      </w:r>
    </w:p>
    <w:p w:rsidR="00000000" w:rsidRPr="003029C5" w:rsidP="003029C5">
      <w:pPr>
        <w:pStyle w:val="ListBullet2"/>
      </w:pPr>
      <w:r w:rsidRPr="003029C5">
        <w:t>evacuated system (at least 10 times)</w:t>
      </w:r>
    </w:p>
    <w:p w:rsidR="00000000" w:rsidRPr="003029C5" w:rsidP="003029C5">
      <w:pPr>
        <w:pStyle w:val="ListBullet2"/>
      </w:pPr>
      <w:r w:rsidRPr="003029C5">
        <w:t>winged infusion sets and/or needle and syringe as per organisation policy and procedure</w:t>
      </w:r>
    </w:p>
    <w:p w:rsidR="00000000" w:rsidRPr="003029C5" w:rsidP="003029C5">
      <w:pPr>
        <w:pStyle w:val="AllowPageBreak"/>
      </w:pPr>
    </w:p>
    <w:p w:rsidR="00000000" w:rsidRPr="003029C5" w:rsidP="003029C5">
      <w:pPr>
        <w:pStyle w:val="Heading1"/>
      </w:pPr>
      <w:bookmarkStart w:id="9" w:name="O_1274961"/>
      <w:bookmarkEnd w:id="9"/>
      <w:r w:rsidRPr="003029C5">
        <w:t>Knowledge Evidence</w:t>
      </w:r>
    </w:p>
    <w:p w:rsidR="00000000" w:rsidRPr="003029C5" w:rsidP="000A6894">
      <w:pPr>
        <w:pStyle w:val="BodyText"/>
      </w:pPr>
      <w:r w:rsidRPr="003029C5">
        <w:t>The candidate must be able to demonstrate essential knowledge require</w:t>
      </w:r>
      <w:r w:rsidRPr="003029C5">
        <w:t>d to effectively complete tasks outlined in elements and performance criteria of this unit, manage tasks and manage contingencies in the context of the work role. This includes knowledge of:</w:t>
      </w:r>
    </w:p>
    <w:p w:rsidR="00000000" w:rsidRPr="003029C5" w:rsidP="003029C5">
      <w:pPr>
        <w:pStyle w:val="ListBullet"/>
      </w:pPr>
      <w:r w:rsidRPr="003029C5">
        <w:t>legal and ethical considerations for blood collection, and how t</w:t>
      </w:r>
      <w:r w:rsidRPr="003029C5">
        <w:t>hese are applied in organisations:</w:t>
      </w:r>
    </w:p>
    <w:p w:rsidR="00000000" w:rsidRPr="003029C5" w:rsidP="003029C5">
      <w:pPr>
        <w:pStyle w:val="ListBullet2"/>
      </w:pPr>
      <w:r w:rsidRPr="003029C5">
        <w:t>children in the workplace</w:t>
      </w:r>
    </w:p>
    <w:p w:rsidR="00000000" w:rsidRPr="003029C5" w:rsidP="003029C5">
      <w:pPr>
        <w:pStyle w:val="ListBullet2"/>
      </w:pPr>
      <w:r w:rsidRPr="003029C5">
        <w:t>duty of care</w:t>
      </w:r>
    </w:p>
    <w:p w:rsidR="00000000" w:rsidRPr="003029C5" w:rsidP="003029C5">
      <w:pPr>
        <w:pStyle w:val="ListBullet2"/>
      </w:pPr>
      <w:r w:rsidRPr="003029C5">
        <w:t>informed consent</w:t>
      </w:r>
    </w:p>
    <w:p w:rsidR="00000000" w:rsidRPr="003029C5" w:rsidP="003029C5">
      <w:pPr>
        <w:pStyle w:val="ListBullet2"/>
      </w:pPr>
      <w:r w:rsidRPr="003029C5">
        <w:t>mandatory reporting</w:t>
      </w:r>
    </w:p>
    <w:p w:rsidR="00000000" w:rsidRPr="003029C5" w:rsidP="003029C5">
      <w:pPr>
        <w:pStyle w:val="ListBullet2"/>
      </w:pPr>
      <w:r w:rsidRPr="003029C5">
        <w:t>privacy, confidentiality and disclosure</w:t>
      </w:r>
    </w:p>
    <w:p w:rsidR="00000000" w:rsidRPr="003029C5" w:rsidP="003029C5">
      <w:pPr>
        <w:pStyle w:val="ListBullet2"/>
      </w:pPr>
      <w:r w:rsidRPr="003029C5">
        <w:t>records management</w:t>
      </w:r>
    </w:p>
    <w:p w:rsidR="00000000" w:rsidRPr="003029C5" w:rsidP="003029C5">
      <w:pPr>
        <w:pStyle w:val="ListBullet2"/>
      </w:pPr>
      <w:r w:rsidRPr="003029C5">
        <w:t>supportive holding for procedures (limitations)</w:t>
      </w:r>
    </w:p>
    <w:p w:rsidR="00000000" w:rsidRPr="003029C5" w:rsidP="003029C5">
      <w:pPr>
        <w:pStyle w:val="ListBullet2"/>
      </w:pPr>
      <w:r w:rsidRPr="003029C5">
        <w:t>work role boundaries:</w:t>
      </w:r>
    </w:p>
    <w:p w:rsidR="00000000" w:rsidRPr="003029C5" w:rsidP="003029C5">
      <w:pPr>
        <w:pStyle w:val="ListBullet3"/>
      </w:pPr>
      <w:r w:rsidRPr="003029C5">
        <w:t>blood collection role in different contexts</w:t>
      </w:r>
    </w:p>
    <w:p w:rsidR="00000000" w:rsidRPr="003029C5" w:rsidP="003029C5">
      <w:pPr>
        <w:pStyle w:val="ListBullet3"/>
      </w:pPr>
      <w:r w:rsidRPr="003029C5">
        <w:t>sources of blood sample requests</w:t>
      </w:r>
    </w:p>
    <w:p w:rsidR="00000000" w:rsidRPr="003029C5" w:rsidP="003029C5">
      <w:pPr>
        <w:pStyle w:val="ListBullet2"/>
      </w:pPr>
      <w:r w:rsidRPr="003029C5">
        <w:t>work health and safety</w:t>
      </w:r>
    </w:p>
    <w:p w:rsidR="00000000" w:rsidRPr="003029C5" w:rsidP="003029C5">
      <w:pPr>
        <w:pStyle w:val="ListBullet"/>
      </w:pPr>
      <w:r w:rsidRPr="003029C5">
        <w:t>standard infection control requirements for clinical procedures:</w:t>
      </w:r>
    </w:p>
    <w:p w:rsidR="00000000" w:rsidRPr="003029C5" w:rsidP="003029C5">
      <w:pPr>
        <w:pStyle w:val="ListBullet2"/>
      </w:pPr>
      <w:r w:rsidRPr="003029C5">
        <w:t>hand hygiene</w:t>
      </w:r>
    </w:p>
    <w:p w:rsidR="00000000" w:rsidRPr="003029C5" w:rsidP="003029C5">
      <w:pPr>
        <w:pStyle w:val="ListBullet2"/>
      </w:pPr>
      <w:r w:rsidRPr="003029C5">
        <w:t>use of personal protective equipment (PPE)</w:t>
      </w:r>
    </w:p>
    <w:p w:rsidR="00000000" w:rsidRPr="003029C5" w:rsidP="003029C5">
      <w:pPr>
        <w:pStyle w:val="ListBullet2"/>
      </w:pPr>
      <w:r w:rsidRPr="003029C5">
        <w:t>avoiding contact with bodily fluids</w:t>
      </w:r>
    </w:p>
    <w:p w:rsidR="00000000" w:rsidRPr="003029C5" w:rsidP="003029C5">
      <w:pPr>
        <w:pStyle w:val="ListBullet2"/>
      </w:pPr>
      <w:r w:rsidRPr="003029C5">
        <w:t>sharps injury prevention and treatment if sustained</w:t>
      </w:r>
    </w:p>
    <w:p w:rsidR="00000000" w:rsidRPr="003029C5" w:rsidP="003029C5">
      <w:pPr>
        <w:pStyle w:val="ListBullet2"/>
      </w:pPr>
      <w:r w:rsidRPr="003029C5">
        <w:t>waste disposal</w:t>
      </w:r>
    </w:p>
    <w:p w:rsidR="00000000" w:rsidRPr="003029C5" w:rsidP="003029C5">
      <w:pPr>
        <w:pStyle w:val="ListBullet"/>
      </w:pPr>
      <w:r w:rsidRPr="003029C5">
        <w:t>industry terminology used in blood collection:</w:t>
      </w:r>
    </w:p>
    <w:p w:rsidR="00000000" w:rsidRPr="003029C5" w:rsidP="003029C5">
      <w:pPr>
        <w:pStyle w:val="ListBullet2"/>
      </w:pPr>
      <w:r w:rsidRPr="003029C5">
        <w:t>equipment</w:t>
      </w:r>
    </w:p>
    <w:p w:rsidR="00000000" w:rsidRPr="003029C5" w:rsidP="003029C5">
      <w:pPr>
        <w:pStyle w:val="ListBullet2"/>
      </w:pPr>
      <w:r w:rsidRPr="003029C5">
        <w:t>procedures</w:t>
      </w:r>
    </w:p>
    <w:p w:rsidR="00000000" w:rsidRPr="003029C5" w:rsidP="003029C5">
      <w:pPr>
        <w:pStyle w:val="ListBullet2"/>
      </w:pPr>
      <w:r w:rsidRPr="003029C5">
        <w:t>abbreviations</w:t>
      </w:r>
    </w:p>
    <w:p w:rsidR="00000000" w:rsidRPr="003029C5" w:rsidP="003029C5">
      <w:pPr>
        <w:pStyle w:val="ListBullet2"/>
      </w:pPr>
      <w:r w:rsidRPr="003029C5">
        <w:t>blood test names</w:t>
      </w:r>
    </w:p>
    <w:p w:rsidR="00000000" w:rsidRPr="003029C5" w:rsidP="003029C5">
      <w:pPr>
        <w:pStyle w:val="ListBullet2"/>
      </w:pPr>
      <w:r w:rsidRPr="003029C5">
        <w:t>appropriate venepuncture sites</w:t>
      </w:r>
    </w:p>
    <w:p w:rsidR="00000000" w:rsidRPr="003029C5" w:rsidP="003029C5">
      <w:pPr>
        <w:pStyle w:val="ListBullet2"/>
      </w:pPr>
      <w:r w:rsidRPr="003029C5">
        <w:t xml:space="preserve">clinical history and </w:t>
      </w:r>
      <w:r w:rsidRPr="003029C5">
        <w:t>medication details</w:t>
      </w:r>
    </w:p>
    <w:p w:rsidR="00000000" w:rsidRPr="003029C5" w:rsidP="003029C5">
      <w:pPr>
        <w:pStyle w:val="ListBullet"/>
      </w:pPr>
      <w:r w:rsidRPr="003029C5">
        <w:t>key aspects of human anatomy and physiology in relation to the vascular, arterial and nervous system and relevant to the variety of blood collection procedures and collection sites</w:t>
      </w:r>
    </w:p>
    <w:p w:rsidR="00000000" w:rsidRPr="003029C5" w:rsidP="003029C5">
      <w:pPr>
        <w:pStyle w:val="ListBullet"/>
      </w:pPr>
      <w:r w:rsidRPr="003029C5">
        <w:t>components o</w:t>
      </w:r>
      <w:r w:rsidRPr="003029C5">
        <w:t>f blood in relation to quality blood samples and pre-analytical error:</w:t>
      </w:r>
    </w:p>
    <w:p w:rsidR="00000000" w:rsidRPr="003029C5" w:rsidP="003029C5">
      <w:pPr>
        <w:pStyle w:val="ListBullet2"/>
      </w:pPr>
      <w:r w:rsidRPr="003029C5">
        <w:t>serum plasma</w:t>
      </w:r>
    </w:p>
    <w:p w:rsidR="00000000" w:rsidRPr="003029C5" w:rsidP="003029C5">
      <w:pPr>
        <w:pStyle w:val="ListBullet2"/>
      </w:pPr>
      <w:r w:rsidRPr="003029C5">
        <w:t>red cells</w:t>
      </w:r>
    </w:p>
    <w:p w:rsidR="00000000" w:rsidRPr="003029C5" w:rsidP="003029C5">
      <w:pPr>
        <w:pStyle w:val="ListBullet2"/>
      </w:pPr>
      <w:r w:rsidRPr="003029C5">
        <w:t>white cells</w:t>
      </w:r>
    </w:p>
    <w:p w:rsidR="00000000" w:rsidRPr="003029C5" w:rsidP="003029C5">
      <w:pPr>
        <w:pStyle w:val="ListBullet2"/>
      </w:pPr>
      <w:r w:rsidRPr="003029C5">
        <w:t>platelets</w:t>
      </w:r>
    </w:p>
    <w:p w:rsidR="00000000" w:rsidRPr="003029C5" w:rsidP="003029C5">
      <w:pPr>
        <w:pStyle w:val="ListBullet"/>
      </w:pPr>
      <w:r w:rsidRPr="003029C5">
        <w:t>clinical risks of blood collection procedures and procedures designed to minimise those risks</w:t>
      </w:r>
    </w:p>
    <w:p w:rsidR="00000000" w:rsidRPr="003029C5" w:rsidP="003029C5">
      <w:pPr>
        <w:pStyle w:val="ListBullet"/>
      </w:pPr>
      <w:r w:rsidRPr="003029C5">
        <w:t>collection procedure factors which contribut</w:t>
      </w:r>
      <w:r w:rsidRPr="003029C5">
        <w:t>e to a quality sample collection and impact on laboratory testing</w:t>
      </w:r>
    </w:p>
    <w:p w:rsidR="00000000" w:rsidRPr="003029C5" w:rsidP="003029C5">
      <w:pPr>
        <w:pStyle w:val="ListBullet"/>
      </w:pPr>
      <w:r w:rsidRPr="003029C5">
        <w:t>pre-analytical factors which may affect the chemical analysis of blood and impact on collection:</w:t>
      </w:r>
    </w:p>
    <w:p w:rsidR="00000000" w:rsidRPr="003029C5" w:rsidP="003029C5">
      <w:pPr>
        <w:pStyle w:val="ListBullet2"/>
      </w:pPr>
      <w:r w:rsidRPr="003029C5">
        <w:t>appropriate times to collect</w:t>
      </w:r>
    </w:p>
    <w:p w:rsidR="00000000" w:rsidRPr="003029C5" w:rsidP="003029C5">
      <w:pPr>
        <w:pStyle w:val="ListBullet2"/>
      </w:pPr>
      <w:r w:rsidRPr="003029C5">
        <w:t>impact of drugs</w:t>
      </w:r>
    </w:p>
    <w:p w:rsidR="00000000" w:rsidRPr="003029C5" w:rsidP="003029C5">
      <w:pPr>
        <w:pStyle w:val="ListBullet2"/>
      </w:pPr>
      <w:r w:rsidRPr="003029C5">
        <w:t>timing of last dose</w:t>
      </w:r>
    </w:p>
    <w:p w:rsidR="00000000" w:rsidRPr="003029C5" w:rsidP="003029C5">
      <w:pPr>
        <w:pStyle w:val="ListBullet2"/>
      </w:pPr>
      <w:r w:rsidRPr="003029C5">
        <w:t>required fasting times</w:t>
      </w:r>
    </w:p>
    <w:p w:rsidR="00000000" w:rsidRPr="003029C5" w:rsidP="003029C5">
      <w:pPr>
        <w:pStyle w:val="ListBullet2"/>
      </w:pPr>
      <w:r w:rsidRPr="003029C5">
        <w:t>prot</w:t>
      </w:r>
      <w:r w:rsidRPr="003029C5">
        <w:t>ecting the integrity of the specimen</w:t>
      </w:r>
    </w:p>
    <w:p w:rsidR="00000000" w:rsidRPr="003029C5" w:rsidP="003029C5">
      <w:pPr>
        <w:pStyle w:val="ListBullet"/>
      </w:pPr>
      <w:r w:rsidRPr="003029C5">
        <w:t>features, functions and use of venepuncture equipment:</w:t>
      </w:r>
    </w:p>
    <w:p w:rsidR="00000000" w:rsidRPr="003029C5" w:rsidP="003029C5">
      <w:pPr>
        <w:pStyle w:val="ListBullet2"/>
      </w:pPr>
      <w:r w:rsidRPr="003029C5">
        <w:t>evacuated systems – multi-sample needles and winged infusion sets</w:t>
      </w:r>
    </w:p>
    <w:p w:rsidR="00000000" w:rsidRPr="003029C5" w:rsidP="003029C5">
      <w:pPr>
        <w:pStyle w:val="ListBullet2"/>
      </w:pPr>
      <w:r w:rsidRPr="003029C5">
        <w:t>needles and syringes</w:t>
      </w:r>
    </w:p>
    <w:p w:rsidR="00000000" w:rsidRPr="003029C5" w:rsidP="003029C5">
      <w:pPr>
        <w:pStyle w:val="ListBullet2"/>
      </w:pPr>
      <w:r w:rsidRPr="003029C5">
        <w:t>tourniquets</w:t>
      </w:r>
    </w:p>
    <w:p w:rsidR="00000000" w:rsidRPr="003029C5" w:rsidP="003029C5">
      <w:pPr>
        <w:pStyle w:val="ListBullet2"/>
      </w:pPr>
      <w:r w:rsidRPr="003029C5">
        <w:t>cleansing solutions and swabs</w:t>
      </w:r>
    </w:p>
    <w:p w:rsidR="00000000" w:rsidRPr="003029C5" w:rsidP="003029C5">
      <w:pPr>
        <w:pStyle w:val="ListBullet2"/>
      </w:pPr>
      <w:r w:rsidRPr="003029C5">
        <w:t>collection tubes</w:t>
      </w:r>
    </w:p>
    <w:p w:rsidR="00000000" w:rsidRPr="003029C5" w:rsidP="003029C5">
      <w:pPr>
        <w:pStyle w:val="ListBullet"/>
      </w:pPr>
      <w:r w:rsidRPr="003029C5">
        <w:t>blood sample handling, processing, transit and storage methods</w:t>
      </w:r>
    </w:p>
    <w:p w:rsidR="00000000" w:rsidRPr="003029C5" w:rsidP="003029C5">
      <w:pPr>
        <w:pStyle w:val="ListBullet"/>
      </w:pPr>
      <w:r w:rsidRPr="003029C5">
        <w:t>requirements for selection and collection into tubes with variable additives:</w:t>
      </w:r>
    </w:p>
    <w:p w:rsidR="00000000" w:rsidRPr="003029C5" w:rsidP="003029C5">
      <w:pPr>
        <w:pStyle w:val="ListBullet2"/>
      </w:pPr>
      <w:r w:rsidRPr="003029C5">
        <w:t>ethylenediaminetetraacetic acid (EDTA)</w:t>
      </w:r>
    </w:p>
    <w:p w:rsidR="00000000" w:rsidRPr="003029C5" w:rsidP="003029C5">
      <w:pPr>
        <w:pStyle w:val="ListBullet2"/>
      </w:pPr>
      <w:r w:rsidRPr="003029C5">
        <w:t>sodium citrate</w:t>
      </w:r>
    </w:p>
    <w:p w:rsidR="00000000" w:rsidRPr="003029C5" w:rsidP="003029C5">
      <w:pPr>
        <w:pStyle w:val="ListBullet2"/>
      </w:pPr>
      <w:r w:rsidRPr="003029C5">
        <w:t>lithium/sodium heparin</w:t>
      </w:r>
    </w:p>
    <w:p w:rsidR="00000000" w:rsidRPr="003029C5" w:rsidP="003029C5">
      <w:pPr>
        <w:pStyle w:val="ListBullet2"/>
      </w:pPr>
      <w:r w:rsidRPr="003029C5">
        <w:t>fluoride oxalate</w:t>
      </w:r>
    </w:p>
    <w:p w:rsidR="00000000" w:rsidRPr="003029C5" w:rsidP="003029C5">
      <w:pPr>
        <w:pStyle w:val="ListBullet2"/>
      </w:pPr>
      <w:r w:rsidRPr="003029C5">
        <w:t>separation gel</w:t>
      </w:r>
    </w:p>
    <w:p w:rsidR="00000000" w:rsidRPr="003029C5" w:rsidP="003029C5">
      <w:pPr>
        <w:pStyle w:val="ListBullet2"/>
      </w:pPr>
      <w:r w:rsidRPr="003029C5">
        <w:t>blood culture bottles</w:t>
      </w:r>
    </w:p>
    <w:p w:rsidR="00000000" w:rsidRPr="003029C5" w:rsidP="003029C5">
      <w:pPr>
        <w:pStyle w:val="AllowPageBreak"/>
      </w:pPr>
    </w:p>
    <w:p w:rsidR="00000000" w:rsidRPr="003029C5" w:rsidP="003029C5">
      <w:pPr>
        <w:pStyle w:val="Heading1"/>
      </w:pPr>
      <w:bookmarkStart w:id="10" w:name="O_1274960"/>
      <w:bookmarkEnd w:id="10"/>
      <w:r w:rsidRPr="003029C5">
        <w:t>Assessment Conditions</w:t>
      </w:r>
    </w:p>
    <w:p w:rsidR="00000000" w:rsidRPr="003029C5" w:rsidP="000A6894">
      <w:pPr>
        <w:pStyle w:val="BodyText"/>
      </w:pPr>
      <w:r w:rsidRPr="003029C5">
        <w:t>Skills must have been demonstrated in the workplace with the addition of simulations and scenarios where the full range of contexts and situations have not been provided in the workplace. The f</w:t>
      </w:r>
      <w:r w:rsidRPr="003029C5">
        <w:t xml:space="preserve">ollowing conditions must be met for this unit: </w:t>
      </w:r>
    </w:p>
    <w:p w:rsidR="00000000" w:rsidRPr="003029C5" w:rsidP="003029C5">
      <w:pPr>
        <w:pStyle w:val="ListBullet"/>
      </w:pPr>
      <w:r w:rsidRPr="003029C5">
        <w:t xml:space="preserve">use of suitable facilities, equipment and resources, including: </w:t>
      </w:r>
    </w:p>
    <w:p w:rsidR="00000000" w:rsidRPr="003029C5" w:rsidP="003029C5">
      <w:pPr>
        <w:pStyle w:val="ListBullet2"/>
      </w:pPr>
      <w:r w:rsidRPr="003029C5">
        <w:t>tourniquets</w:t>
      </w:r>
    </w:p>
    <w:p w:rsidR="00000000" w:rsidRPr="003029C5" w:rsidP="003029C5">
      <w:pPr>
        <w:pStyle w:val="ListBullet2"/>
      </w:pPr>
      <w:r w:rsidRPr="003029C5">
        <w:t>collection tubes</w:t>
      </w:r>
    </w:p>
    <w:p w:rsidR="00000000" w:rsidRPr="003029C5" w:rsidP="003029C5">
      <w:pPr>
        <w:pStyle w:val="ListBullet2"/>
      </w:pPr>
      <w:r w:rsidRPr="003029C5">
        <w:t>syringes and needles and/or winged infusion set (butterfly)</w:t>
      </w:r>
    </w:p>
    <w:p w:rsidR="00000000" w:rsidRPr="003029C5" w:rsidP="003029C5">
      <w:pPr>
        <w:pStyle w:val="ListBullet2"/>
      </w:pPr>
      <w:r w:rsidRPr="003029C5">
        <w:t>multi-sample needle and holder</w:t>
      </w:r>
    </w:p>
    <w:p w:rsidR="00000000" w:rsidRPr="003029C5" w:rsidP="003029C5">
      <w:pPr>
        <w:pStyle w:val="ListBullet2"/>
      </w:pPr>
      <w:r w:rsidRPr="003029C5">
        <w:t>evacuated blood colle</w:t>
      </w:r>
      <w:r w:rsidRPr="003029C5">
        <w:t>ction equipment</w:t>
      </w:r>
    </w:p>
    <w:p w:rsidR="00000000" w:rsidRPr="003029C5" w:rsidP="003029C5">
      <w:pPr>
        <w:pStyle w:val="ListBullet2"/>
      </w:pPr>
      <w:r w:rsidRPr="003029C5">
        <w:t>sharps containers</w:t>
      </w:r>
    </w:p>
    <w:p w:rsidR="00000000" w:rsidRPr="003029C5" w:rsidP="003029C5">
      <w:pPr>
        <w:pStyle w:val="ListBullet2"/>
      </w:pPr>
      <w:r w:rsidRPr="003029C5">
        <w:t>alcohol wipes</w:t>
      </w:r>
    </w:p>
    <w:p w:rsidR="00000000" w:rsidRPr="003029C5" w:rsidP="003029C5">
      <w:pPr>
        <w:pStyle w:val="ListBullet2"/>
      </w:pPr>
      <w:r w:rsidRPr="003029C5">
        <w:t>dressings</w:t>
      </w:r>
    </w:p>
    <w:p w:rsidR="00000000" w:rsidRPr="003029C5" w:rsidP="003029C5">
      <w:pPr>
        <w:pStyle w:val="ListBullet2"/>
      </w:pPr>
      <w:r w:rsidRPr="003029C5">
        <w:t>PPE</w:t>
      </w:r>
    </w:p>
    <w:p w:rsidR="00000000" w:rsidRPr="003029C5" w:rsidP="003029C5">
      <w:pPr>
        <w:pStyle w:val="ListBullet2"/>
      </w:pPr>
      <w:r w:rsidRPr="003029C5">
        <w:t>hand hygiene facilities</w:t>
      </w:r>
    </w:p>
    <w:p w:rsidR="00000000" w:rsidRPr="003029C5" w:rsidP="003029C5">
      <w:pPr>
        <w:pStyle w:val="ListBullet2"/>
      </w:pPr>
      <w:r w:rsidRPr="003029C5">
        <w:t>documented collection procedures for the candidate to follow</w:t>
      </w:r>
    </w:p>
    <w:p w:rsidR="00000000" w:rsidRPr="003029C5" w:rsidP="003029C5">
      <w:pPr>
        <w:pStyle w:val="ListBullet"/>
      </w:pPr>
      <w:r w:rsidRPr="003029C5">
        <w:t xml:space="preserve">modelling of industry operating conditions, including: </w:t>
      </w:r>
    </w:p>
    <w:p w:rsidR="00000000" w:rsidRPr="003029C5" w:rsidP="003029C5">
      <w:pPr>
        <w:pStyle w:val="ListBullet2"/>
      </w:pPr>
      <w:r w:rsidRPr="003029C5">
        <w:t>interactions with clients from general public</w:t>
      </w:r>
    </w:p>
    <w:p w:rsidR="00000000" w:rsidRPr="003029C5" w:rsidP="003029C5">
      <w:pPr>
        <w:pStyle w:val="ListBullet2"/>
      </w:pPr>
      <w:r w:rsidRPr="003029C5">
        <w:t>presence of situations requiring problem solving in non-routine situations</w:t>
      </w:r>
    </w:p>
    <w:p w:rsidR="00000000" w:rsidRPr="003029C5" w:rsidP="003029C5">
      <w:pPr>
        <w:pStyle w:val="ListBullet"/>
      </w:pPr>
      <w:r w:rsidRPr="003029C5">
        <w:t>supervision of candidate’s work activities by a person currently working in a phlebotomist role for at least 18 hours per fortnight</w:t>
      </w:r>
    </w:p>
    <w:p w:rsidR="00000000" w:rsidRPr="003029C5" w:rsidP="003029C5">
      <w:pPr>
        <w:pStyle w:val="ListBullet"/>
      </w:pPr>
      <w:r w:rsidRPr="003029C5">
        <w:t>at least 5 of the 20 collections must be directl</w:t>
      </w:r>
      <w:r w:rsidRPr="003029C5">
        <w:t>y observed in workplace by the assessor</w:t>
      </w:r>
    </w:p>
    <w:p w:rsidR="00000000" w:rsidRPr="003029C5" w:rsidP="003029C5">
      <w:pPr>
        <w:pStyle w:val="BodyText"/>
      </w:pPr>
    </w:p>
    <w:p w:rsidR="00000000" w:rsidRPr="003029C5" w:rsidP="000A6894">
      <w:pPr>
        <w:pStyle w:val="BodyText"/>
      </w:pPr>
      <w:r w:rsidRPr="003029C5">
        <w:t>The following aspects of the performance evidence must have been demonstrated using simulation prior to demonstration in the workplace or with members of the general public:</w:t>
      </w:r>
    </w:p>
    <w:p w:rsidR="00000000" w:rsidRPr="003029C5" w:rsidP="003029C5">
      <w:pPr>
        <w:pStyle w:val="ListBullet"/>
      </w:pPr>
      <w:r w:rsidRPr="003029C5">
        <w:t xml:space="preserve">venous blood collection technique using </w:t>
      </w:r>
      <w:r w:rsidRPr="003029C5">
        <w:t>the following equipment</w:t>
      </w:r>
    </w:p>
    <w:p w:rsidR="00000000" w:rsidRPr="003029C5" w:rsidP="003029C5">
      <w:pPr>
        <w:pStyle w:val="ListBullet2"/>
      </w:pPr>
      <w:r w:rsidRPr="003029C5">
        <w:t xml:space="preserve">evacuated system </w:t>
      </w:r>
    </w:p>
    <w:p w:rsidR="00000000" w:rsidRPr="003029C5" w:rsidP="003029C5">
      <w:pPr>
        <w:pStyle w:val="ListBullet2"/>
      </w:pPr>
      <w:r w:rsidRPr="003029C5">
        <w:t>winged infusion sets</w:t>
      </w:r>
    </w:p>
    <w:p w:rsidR="00000000" w:rsidRPr="003029C5" w:rsidP="003029C5">
      <w:pPr>
        <w:pStyle w:val="ListBullet2"/>
      </w:pPr>
      <w:r w:rsidRPr="003029C5">
        <w:t>needle and syringe</w:t>
      </w:r>
    </w:p>
    <w:p w:rsidR="00000000" w:rsidRPr="003029C5" w:rsidP="003029C5">
      <w:pPr>
        <w:pStyle w:val="BodyText"/>
      </w:pPr>
    </w:p>
    <w:p w:rsidR="00000000" w:rsidRPr="003029C5" w:rsidP="000A6894">
      <w:pPr>
        <w:pStyle w:val="BodyText"/>
      </w:pPr>
      <w:r w:rsidRPr="003029C5">
        <w:t>Assessors must satisfy the Standards for Registered Training Organisations (RTOs) 2015/AQTF mandatory competency requirements for assessors.</w:t>
      </w:r>
    </w:p>
    <w:p w:rsidR="00000000" w:rsidRPr="003029C5" w:rsidP="003029C5">
      <w:pPr>
        <w:pStyle w:val="Heading1"/>
      </w:pPr>
      <w:bookmarkStart w:id="11" w:name="O_1274971"/>
      <w:bookmarkEnd w:id="11"/>
      <w:r w:rsidRPr="003029C5">
        <w:t>Links</w:t>
      </w:r>
    </w:p>
    <w:p w:rsidR="00000000" w:rsidRPr="003029C5" w:rsidP="000A6894">
      <w:pPr>
        <w:pStyle w:val="BodyText"/>
      </w:pPr>
      <w:r w:rsidRPr="003029C5">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E8307C">
        <w:rPr>
          <w:rStyle w:val="Hyperlink"/>
        </w:rPr>
        <w:t>https://vetnet.gov.au/Pages/TrainingDocs.aspx?q=ced1390f-48d9-4ab0-bd50-b015e5485705</w:t>
      </w:r>
      <w:r>
        <w:fldChar w:fldCharType="end"/>
      </w:r>
    </w:p>
    <w:p w:rsidR="00000000" w:rsidRPr="003029C5" w:rsidP="003029C5"/>
    <w:sectPr w:rsidSect="003029C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9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9C5" w:rsidRPr="000A6894" w:rsidP="000A68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9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894" w:rsidP="003029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0A6894" w:rsidP="003029C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0A6894" w:rsidP="003029C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9C5" w:rsidP="003029C5">
    <w:pPr>
      <w:pStyle w:val="Footer"/>
      <w:framePr w:wrap="around"/>
    </w:pPr>
    <w:r>
      <w:fldChar w:fldCharType="begin"/>
    </w:r>
    <w:r>
      <w:instrText xml:space="preserve"> DOCPROPERTY  Subject  \* MERGEFORMAT </w:instrText>
    </w:r>
    <w:r>
      <w:fldChar w:fldCharType="separate"/>
    </w:r>
    <w:r w:rsidR="000A6894">
      <w:t>Approved</w:t>
    </w:r>
    <w:r w:rsidR="000A6894">
      <w:fldChar w:fldCharType="end"/>
    </w:r>
    <w:r>
      <w:tab/>
      <w:t xml:space="preserve">Page </w:t>
    </w:r>
    <w:r>
      <w:fldChar w:fldCharType="begin"/>
    </w:r>
    <w:r>
      <w:instrText xml:space="preserve"> PAGE  \* Arabic  \* MERGEFORMAT </w:instrText>
    </w:r>
    <w:r>
      <w:fldChar w:fldCharType="separate"/>
    </w:r>
    <w:r w:rsidR="000A6894">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A6894">
      <w:rPr>
        <w:noProof/>
      </w:rPr>
      <w:t>6</w:t>
    </w:r>
    <w:r>
      <w:rPr>
        <w:noProof/>
      </w:rPr>
      <w:fldChar w:fldCharType="end"/>
    </w:r>
  </w:p>
  <w:p w:rsidR="003029C5" w:rsidP="003029C5">
    <w:pPr>
      <w:pStyle w:val="Footer"/>
      <w:framePr w:wrap="around"/>
    </w:pPr>
    <w:r>
      <w:t xml:space="preserve">© Commonwealth of Australia, </w:t>
    </w:r>
    <w:r>
      <w:fldChar w:fldCharType="begin"/>
    </w:r>
    <w:r>
      <w:instrText xml:space="preserve"> DATE  \@ "yyyy"  \* MERGEFORMAT </w:instrText>
    </w:r>
    <w:r>
      <w:fldChar w:fldCharType="separate"/>
    </w:r>
    <w:r w:rsidR="000A6894">
      <w:rPr>
        <w:noProof/>
      </w:rPr>
      <w:t>2025</w:t>
    </w:r>
    <w:r>
      <w:fldChar w:fldCharType="end"/>
    </w:r>
    <w:r>
      <w:tab/>
    </w:r>
    <w:r>
      <w:fldChar w:fldCharType="begin"/>
    </w:r>
    <w:r>
      <w:instrText xml:space="preserve"> DOCPROPERTY  Author  \* MERGEFORMAT </w:instrText>
    </w:r>
    <w:r>
      <w:fldChar w:fldCharType="separate"/>
    </w:r>
    <w:r w:rsidR="000A6894">
      <w:t>HumanAbility</w:t>
    </w:r>
    <w:r w:rsidR="000A6894">
      <w:fldChar w:fldCharType="end"/>
    </w:r>
  </w:p>
  <w:p w:rsidR="003029C5" w:rsidP="003029C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9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89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029C5" w:rsidRPr="000A6894" w:rsidP="000A689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9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894" w:rsidRPr="002D2AF8" w:rsidP="003029C5">
    <w:pPr>
      <w:pStyle w:val="Header"/>
      <w:framePr w:wrap="around"/>
    </w:pPr>
    <w:r>
      <w:fldChar w:fldCharType="begin"/>
    </w:r>
    <w:r>
      <w:instrText xml:space="preserve"> TITLE   \* MERGEFORMAT </w:instrText>
    </w:r>
    <w:r>
      <w:fldChar w:fldCharType="separate"/>
    </w:r>
    <w:r>
      <w:t>HLTPAT002 Perform venous blood collections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A6894" w:rsidP="003029C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9C5" w:rsidRPr="002D2AF8" w:rsidP="003029C5">
    <w:pPr>
      <w:pStyle w:val="Header"/>
      <w:framePr w:wrap="around"/>
    </w:pPr>
    <w:r>
      <w:fldChar w:fldCharType="begin"/>
    </w:r>
    <w:r>
      <w:instrText xml:space="preserve"> TITLE   \* MERGEFORMAT </w:instrText>
    </w:r>
    <w:r>
      <w:fldChar w:fldCharType="separate"/>
    </w:r>
    <w:r w:rsidR="000A6894">
      <w:t>HLTPAT002 Perform venous blood collections</w:t>
    </w:r>
    <w:r w:rsidR="000A6894">
      <w:fldChar w:fldCharType="end"/>
    </w:r>
    <w:r>
      <w:tab/>
      <w:t xml:space="preserve">Date this document was generated: </w:t>
    </w:r>
    <w:r>
      <w:fldChar w:fldCharType="begin"/>
    </w:r>
    <w:r>
      <w:instrText xml:space="preserve"> CREATEDATE  \@ "d MMMM yyyy"  \* MERGEFORMAT </w:instrText>
    </w:r>
    <w:r>
      <w:fldChar w:fldCharType="separate"/>
    </w:r>
    <w:r w:rsidR="000A6894">
      <w:rPr>
        <w:noProof/>
      </w:rPr>
      <w:t>2 March 2025</w:t>
    </w:r>
    <w:r>
      <w:fldChar w:fldCharType="end"/>
    </w:r>
  </w:p>
  <w:p w:rsidR="003029C5" w:rsidP="003029C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80EFA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2C2B0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ABADE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unhideWhenUsed="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29C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29C5"/>
    <w:pPr>
      <w:spacing w:before="360" w:after="60"/>
      <w:outlineLvl w:val="0"/>
    </w:pPr>
    <w:rPr>
      <w:sz w:val="32"/>
    </w:rPr>
  </w:style>
  <w:style w:type="paragraph" w:styleId="Heading2">
    <w:name w:val="heading 2"/>
    <w:basedOn w:val="HeadingBase"/>
    <w:next w:val="BodyText"/>
    <w:link w:val="Heading2Char"/>
    <w:qFormat/>
    <w:rsid w:val="003029C5"/>
    <w:pPr>
      <w:keepLines/>
      <w:spacing w:before="240" w:after="120"/>
      <w:outlineLvl w:val="1"/>
    </w:pPr>
    <w:rPr>
      <w:sz w:val="28"/>
      <w:szCs w:val="40"/>
    </w:rPr>
  </w:style>
  <w:style w:type="paragraph" w:styleId="Heading3">
    <w:name w:val="heading 3"/>
    <w:basedOn w:val="HeadingBase"/>
    <w:next w:val="BodyText"/>
    <w:link w:val="Heading3Char"/>
    <w:qFormat/>
    <w:rsid w:val="003029C5"/>
    <w:pPr>
      <w:spacing w:before="180" w:after="120"/>
      <w:outlineLvl w:val="2"/>
    </w:pPr>
    <w:rPr>
      <w:spacing w:val="-10"/>
      <w:kern w:val="32"/>
    </w:rPr>
  </w:style>
  <w:style w:type="paragraph" w:styleId="Heading4">
    <w:name w:val="heading 4"/>
    <w:basedOn w:val="HeadingBase"/>
    <w:next w:val="BodyText"/>
    <w:link w:val="Heading4Char"/>
    <w:qFormat/>
    <w:rsid w:val="003029C5"/>
    <w:pPr>
      <w:spacing w:before="160" w:after="120"/>
      <w:outlineLvl w:val="3"/>
    </w:pPr>
    <w:rPr>
      <w:sz w:val="22"/>
    </w:rPr>
  </w:style>
  <w:style w:type="paragraph" w:styleId="Heading5">
    <w:name w:val="heading 5"/>
    <w:basedOn w:val="HeadingBase"/>
    <w:next w:val="Normal"/>
    <w:link w:val="Heading5Char"/>
    <w:qFormat/>
    <w:rsid w:val="003029C5"/>
    <w:pPr>
      <w:spacing w:before="80"/>
      <w:outlineLvl w:val="4"/>
    </w:pPr>
    <w:rPr>
      <w:color w:val="918585"/>
      <w:sz w:val="20"/>
    </w:rPr>
  </w:style>
  <w:style w:type="paragraph" w:styleId="Heading6">
    <w:name w:val="heading 6"/>
    <w:basedOn w:val="HeadingBase"/>
    <w:next w:val="Normal"/>
    <w:link w:val="Heading6Char"/>
    <w:qFormat/>
    <w:rsid w:val="003029C5"/>
    <w:pPr>
      <w:spacing w:before="60"/>
      <w:outlineLvl w:val="5"/>
    </w:pPr>
    <w:rPr>
      <w:color w:val="918585"/>
      <w:sz w:val="20"/>
    </w:rPr>
  </w:style>
  <w:style w:type="paragraph" w:styleId="Heading7">
    <w:name w:val="heading 7"/>
    <w:basedOn w:val="Normal"/>
    <w:next w:val="Normal"/>
    <w:link w:val="Heading7Char"/>
    <w:qFormat/>
    <w:rsid w:val="003029C5"/>
    <w:pPr>
      <w:ind w:left="720"/>
      <w:outlineLvl w:val="6"/>
    </w:pPr>
    <w:rPr>
      <w:i/>
    </w:rPr>
  </w:style>
  <w:style w:type="paragraph" w:styleId="Heading8">
    <w:name w:val="heading 8"/>
    <w:basedOn w:val="Normal"/>
    <w:next w:val="Normal"/>
    <w:link w:val="Heading8Char"/>
    <w:qFormat/>
    <w:rsid w:val="003029C5"/>
    <w:pPr>
      <w:ind w:left="720"/>
      <w:outlineLvl w:val="7"/>
    </w:pPr>
    <w:rPr>
      <w:i/>
    </w:rPr>
  </w:style>
  <w:style w:type="paragraph" w:styleId="Heading9">
    <w:name w:val="heading 9"/>
    <w:basedOn w:val="Normal"/>
    <w:next w:val="Normal"/>
    <w:link w:val="Heading9Char"/>
    <w:qFormat/>
    <w:rsid w:val="003029C5"/>
    <w:pPr>
      <w:ind w:left="720"/>
      <w:outlineLvl w:val="8"/>
    </w:pPr>
    <w:rPr>
      <w:i/>
    </w:rPr>
  </w:style>
  <w:style w:type="character" w:default="1" w:styleId="DefaultParagraphFont">
    <w:name w:val="Default Paragraph Font"/>
    <w:uiPriority w:val="1"/>
    <w:unhideWhenUsed/>
    <w:rsid w:val="003029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29C5"/>
  </w:style>
  <w:style w:type="character" w:customStyle="1" w:styleId="Heading1Char">
    <w:name w:val="Heading 1 Char"/>
    <w:basedOn w:val="DefaultParagraphFont"/>
    <w:link w:val="Heading1"/>
    <w:rsid w:val="003029C5"/>
    <w:rPr>
      <w:rFonts w:ascii="Times New Roman" w:eastAsia="Times New Roman" w:hAnsi="Times New Roman" w:cs="Times New Roman"/>
      <w:b/>
      <w:sz w:val="32"/>
      <w:szCs w:val="20"/>
      <w:lang w:eastAsia="en-US"/>
    </w:rPr>
  </w:style>
  <w:style w:type="paragraph" w:styleId="BodyText">
    <w:name w:val="Body Text"/>
    <w:basedOn w:val="Normal"/>
    <w:link w:val="BodyTextChar"/>
    <w:rsid w:val="003029C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029C5"/>
    <w:rPr>
      <w:rFonts w:ascii="Times New Roman" w:eastAsia="Times New Roman" w:hAnsi="Times New Roman" w:cs="Times New Roman"/>
      <w:sz w:val="24"/>
      <w:lang w:eastAsia="en-US"/>
    </w:rPr>
  </w:style>
  <w:style w:type="paragraph" w:styleId="ListBullet">
    <w:name w:val="List Bullet"/>
    <w:basedOn w:val="List"/>
    <w:rsid w:val="003029C5"/>
    <w:pPr>
      <w:numPr>
        <w:numId w:val="13"/>
      </w:numPr>
      <w:tabs>
        <w:tab w:val="clear" w:pos="340"/>
      </w:tabs>
      <w:spacing w:before="40" w:after="40"/>
    </w:pPr>
  </w:style>
  <w:style w:type="character" w:customStyle="1" w:styleId="SpecialBold">
    <w:name w:val="Special Bold"/>
    <w:basedOn w:val="DefaultParagraphFont"/>
    <w:rsid w:val="003029C5"/>
    <w:rPr>
      <w:b/>
      <w:spacing w:val="0"/>
    </w:rPr>
  </w:style>
  <w:style w:type="paragraph" w:styleId="ListBullet2">
    <w:name w:val="List Bullet 2"/>
    <w:basedOn w:val="List2"/>
    <w:rsid w:val="003029C5"/>
    <w:pPr>
      <w:numPr>
        <w:numId w:val="14"/>
      </w:numPr>
      <w:tabs>
        <w:tab w:val="clear" w:pos="680"/>
      </w:tabs>
    </w:pPr>
  </w:style>
  <w:style w:type="character" w:styleId="Emphasis">
    <w:name w:val="Emphasis"/>
    <w:basedOn w:val="DefaultParagraphFont"/>
    <w:qFormat/>
    <w:rsid w:val="003029C5"/>
    <w:rPr>
      <w:i/>
    </w:rPr>
  </w:style>
  <w:style w:type="paragraph" w:customStyle="1" w:styleId="SuperHeading">
    <w:name w:val="SuperHeading"/>
    <w:basedOn w:val="Normal"/>
    <w:rsid w:val="003029C5"/>
    <w:pPr>
      <w:spacing w:before="240" w:after="120"/>
      <w:outlineLvl w:val="0"/>
    </w:pPr>
    <w:rPr>
      <w:rFonts w:ascii="Times New Roman" w:hAnsi="Times New Roman"/>
      <w:b/>
      <w:sz w:val="32"/>
    </w:rPr>
  </w:style>
  <w:style w:type="paragraph" w:customStyle="1" w:styleId="AllowPageBreak">
    <w:name w:val="AllowPageBreak"/>
    <w:rsid w:val="003029C5"/>
    <w:pPr>
      <w:widowControl w:val="0"/>
      <w:spacing w:after="0" w:line="240" w:lineRule="auto"/>
    </w:pPr>
    <w:rPr>
      <w:rFonts w:ascii="Times New Roman" w:eastAsia="Times New Roman" w:hAnsi="Times New Roman" w:cs="Times New Roman"/>
      <w:noProof/>
      <w:sz w:val="2"/>
      <w:szCs w:val="20"/>
      <w:lang w:eastAsia="en-US"/>
    </w:rPr>
  </w:style>
  <w:style w:type="paragraph" w:styleId="ListContinue">
    <w:name w:val="List Continue"/>
    <w:basedOn w:val="List"/>
    <w:rsid w:val="003029C5"/>
    <w:pPr>
      <w:ind w:firstLine="0"/>
    </w:pPr>
  </w:style>
  <w:style w:type="paragraph" w:styleId="ListBullet3">
    <w:name w:val="List Bullet 3"/>
    <w:basedOn w:val="List3"/>
    <w:rsid w:val="003029C5"/>
    <w:pPr>
      <w:numPr>
        <w:numId w:val="3"/>
      </w:numPr>
      <w:tabs>
        <w:tab w:val="clear" w:pos="1021"/>
      </w:tabs>
      <w:ind w:left="1037" w:hanging="357"/>
    </w:pPr>
  </w:style>
  <w:style w:type="character" w:customStyle="1" w:styleId="Heading2Char">
    <w:name w:val="Heading 2 Char"/>
    <w:basedOn w:val="DefaultParagraphFont"/>
    <w:link w:val="Heading2"/>
    <w:rsid w:val="003029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29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29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29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29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29C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29C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29C5"/>
    <w:rPr>
      <w:rFonts w:ascii="Courier New" w:eastAsia="Times New Roman" w:hAnsi="Courier New" w:cs="Times New Roman"/>
      <w:i/>
      <w:szCs w:val="20"/>
      <w:lang w:eastAsia="en-US"/>
    </w:rPr>
  </w:style>
  <w:style w:type="paragraph" w:customStyle="1" w:styleId="HeadingBase">
    <w:name w:val="Heading Base"/>
    <w:rsid w:val="003029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29C5"/>
    <w:pPr>
      <w:tabs>
        <w:tab w:val="right" w:leader="dot" w:pos="9072"/>
      </w:tabs>
      <w:ind w:left="567"/>
    </w:pPr>
    <w:rPr>
      <w:szCs w:val="22"/>
    </w:rPr>
  </w:style>
  <w:style w:type="paragraph" w:customStyle="1" w:styleId="TOCBase">
    <w:name w:val="TOC Base"/>
    <w:rsid w:val="003029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29C5"/>
    <w:pPr>
      <w:tabs>
        <w:tab w:val="right" w:leader="dot" w:pos="9072"/>
      </w:tabs>
      <w:spacing w:before="40" w:after="40"/>
      <w:ind w:left="284"/>
    </w:pPr>
    <w:rPr>
      <w:rFonts w:ascii="Times New Roman" w:hAnsi="Times New Roman"/>
    </w:rPr>
  </w:style>
  <w:style w:type="paragraph" w:styleId="TOC1">
    <w:name w:val="toc 1"/>
    <w:basedOn w:val="TOCBase"/>
    <w:next w:val="Normal"/>
    <w:rsid w:val="003029C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029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29C5"/>
    <w:rPr>
      <w:rFonts w:ascii="Times New Roman" w:eastAsia="Times New Roman" w:hAnsi="Times New Roman" w:cs="Times New Roman"/>
      <w:sz w:val="16"/>
      <w:lang w:eastAsia="en-US"/>
    </w:rPr>
  </w:style>
  <w:style w:type="paragraph" w:styleId="Title">
    <w:name w:val="Title"/>
    <w:basedOn w:val="HeadingBase"/>
    <w:link w:val="TitleChar"/>
    <w:qFormat/>
    <w:rsid w:val="003029C5"/>
    <w:pPr>
      <w:spacing w:before="5040"/>
      <w:jc w:val="center"/>
    </w:pPr>
    <w:rPr>
      <w:sz w:val="48"/>
      <w:szCs w:val="72"/>
      <w:lang w:val="en-US"/>
    </w:rPr>
  </w:style>
  <w:style w:type="character" w:customStyle="1" w:styleId="TitleChar">
    <w:name w:val="Title Char"/>
    <w:basedOn w:val="DefaultParagraphFont"/>
    <w:link w:val="Title"/>
    <w:rsid w:val="003029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29C5"/>
    <w:pPr>
      <w:tabs>
        <w:tab w:val="left" w:pos="3600"/>
        <w:tab w:val="left" w:pos="3958"/>
      </w:tabs>
    </w:pPr>
  </w:style>
  <w:style w:type="paragraph" w:styleId="List">
    <w:name w:val="List"/>
    <w:basedOn w:val="BodyText"/>
    <w:next w:val="BodyText"/>
    <w:rsid w:val="003029C5"/>
    <w:pPr>
      <w:tabs>
        <w:tab w:val="left" w:pos="340"/>
      </w:tabs>
      <w:spacing w:before="60" w:after="60"/>
      <w:ind w:left="340" w:hanging="340"/>
    </w:pPr>
  </w:style>
  <w:style w:type="paragraph" w:customStyle="1" w:styleId="Note">
    <w:name w:val="Note"/>
    <w:basedOn w:val="BodyText"/>
    <w:rsid w:val="003029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29C5"/>
    <w:pPr>
      <w:framePr w:wrap="auto" w:hAnchor="text" w:y="6049"/>
    </w:pPr>
    <w:rPr>
      <w:color w:val="000000"/>
      <w:sz w:val="40"/>
    </w:rPr>
  </w:style>
  <w:style w:type="paragraph" w:customStyle="1" w:styleId="TOCTitle">
    <w:name w:val="TOCTitle"/>
    <w:basedOn w:val="Heading1"/>
    <w:rsid w:val="003029C5"/>
    <w:pPr>
      <w:spacing w:after="240"/>
      <w:jc w:val="center"/>
      <w:outlineLvl w:val="9"/>
    </w:pPr>
    <w:rPr>
      <w:caps/>
    </w:rPr>
  </w:style>
  <w:style w:type="paragraph" w:customStyle="1" w:styleId="Version">
    <w:name w:val="Version"/>
    <w:rsid w:val="003029C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029C5"/>
    <w:pPr>
      <w:keepNext w:val="0"/>
      <w:tabs>
        <w:tab w:val="right" w:pos="4176"/>
      </w:tabs>
      <w:ind w:left="198" w:hanging="198"/>
    </w:pPr>
    <w:rPr>
      <w:rFonts w:ascii="Garamond" w:hAnsi="Garamond"/>
    </w:rPr>
  </w:style>
  <w:style w:type="paragraph" w:styleId="IndexHeading">
    <w:name w:val="index heading"/>
    <w:basedOn w:val="Normal"/>
    <w:next w:val="Index1"/>
    <w:semiHidden/>
    <w:rsid w:val="003029C5"/>
    <w:pPr>
      <w:spacing w:before="120" w:after="120"/>
    </w:pPr>
    <w:rPr>
      <w:rFonts w:ascii="Arial" w:hAnsi="Arial"/>
      <w:b/>
      <w:color w:val="918585"/>
      <w:sz w:val="24"/>
    </w:rPr>
  </w:style>
  <w:style w:type="paragraph" w:styleId="Header">
    <w:name w:val="header"/>
    <w:basedOn w:val="Normal"/>
    <w:link w:val="HeaderChar"/>
    <w:rsid w:val="003029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29C5"/>
    <w:rPr>
      <w:rFonts w:ascii="Times New Roman" w:eastAsia="Times New Roman" w:hAnsi="Times New Roman" w:cs="Times New Roman"/>
      <w:sz w:val="16"/>
      <w:szCs w:val="20"/>
      <w:lang w:val="en-GB" w:eastAsia="en-US"/>
    </w:rPr>
  </w:style>
  <w:style w:type="paragraph" w:customStyle="1" w:styleId="Chapter">
    <w:name w:val="Chapter"/>
    <w:basedOn w:val="Normal"/>
    <w:rsid w:val="003029C5"/>
    <w:pPr>
      <w:spacing w:before="240"/>
    </w:pPr>
    <w:rPr>
      <w:rFonts w:ascii="Times New Roman" w:hAnsi="Times New Roman"/>
      <w:smallCaps/>
      <w:spacing w:val="80"/>
      <w:sz w:val="28"/>
    </w:rPr>
  </w:style>
  <w:style w:type="paragraph" w:customStyle="1" w:styleId="InChapter">
    <w:name w:val="InChapter"/>
    <w:basedOn w:val="Heading3"/>
    <w:rsid w:val="003029C5"/>
    <w:pPr>
      <w:spacing w:after="240"/>
      <w:outlineLvl w:val="9"/>
    </w:pPr>
    <w:rPr>
      <w:noProof/>
    </w:rPr>
  </w:style>
  <w:style w:type="paragraph" w:styleId="Index2">
    <w:name w:val="index 2"/>
    <w:basedOn w:val="Normal"/>
    <w:next w:val="Normal"/>
    <w:semiHidden/>
    <w:rsid w:val="003029C5"/>
    <w:pPr>
      <w:tabs>
        <w:tab w:val="right" w:pos="4176"/>
      </w:tabs>
      <w:ind w:left="568" w:hanging="284"/>
    </w:pPr>
    <w:rPr>
      <w:rFonts w:ascii="Garamond" w:hAnsi="Garamond"/>
    </w:rPr>
  </w:style>
  <w:style w:type="paragraph" w:customStyle="1" w:styleId="Byline">
    <w:name w:val="Byline"/>
    <w:rsid w:val="003029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29C5"/>
    <w:pPr>
      <w:tabs>
        <w:tab w:val="clear" w:pos="3600"/>
        <w:tab w:val="clear" w:pos="3958"/>
      </w:tabs>
      <w:jc w:val="right"/>
    </w:pPr>
  </w:style>
  <w:style w:type="paragraph" w:styleId="Caption">
    <w:name w:val="caption"/>
    <w:basedOn w:val="BodyText"/>
    <w:next w:val="Normal"/>
    <w:qFormat/>
    <w:rsid w:val="003029C5"/>
    <w:pPr>
      <w:framePr w:w="2268" w:hSpace="181" w:vSpace="181" w:wrap="around" w:vAnchor="text" w:hAnchor="page" w:x="1135" w:y="285" w:anchorLock="1"/>
    </w:pPr>
    <w:rPr>
      <w:i/>
    </w:rPr>
  </w:style>
  <w:style w:type="paragraph" w:customStyle="1" w:styleId="MiniTOCTitle">
    <w:name w:val="MiniTOCTitle"/>
    <w:basedOn w:val="Heading4"/>
    <w:rsid w:val="003029C5"/>
    <w:pPr>
      <w:spacing w:before="240"/>
      <w:outlineLvl w:val="9"/>
    </w:pPr>
    <w:rPr>
      <w:noProof/>
      <w:sz w:val="24"/>
    </w:rPr>
  </w:style>
  <w:style w:type="paragraph" w:customStyle="1" w:styleId="MiniTOCItem">
    <w:name w:val="MiniTOCItem"/>
    <w:basedOn w:val="ListBullet"/>
    <w:rsid w:val="003029C5"/>
    <w:pPr>
      <w:numPr>
        <w:numId w:val="0"/>
      </w:numPr>
      <w:tabs>
        <w:tab w:val="right" w:leader="dot" w:pos="6521"/>
      </w:tabs>
      <w:spacing w:before="0" w:after="0"/>
    </w:pPr>
  </w:style>
  <w:style w:type="paragraph" w:customStyle="1" w:styleId="TOFTitle">
    <w:name w:val="TOFTitle"/>
    <w:basedOn w:val="TOCTitle"/>
    <w:rsid w:val="003029C5"/>
  </w:style>
  <w:style w:type="paragraph" w:styleId="TableofFigures">
    <w:name w:val="table of figures"/>
    <w:basedOn w:val="Normal"/>
    <w:next w:val="Normal"/>
    <w:semiHidden/>
    <w:rsid w:val="003029C5"/>
    <w:pPr>
      <w:tabs>
        <w:tab w:val="right" w:leader="dot" w:pos="9072"/>
      </w:tabs>
      <w:ind w:left="970" w:hanging="403"/>
    </w:pPr>
    <w:rPr>
      <w:rFonts w:ascii="Times New Roman" w:hAnsi="Times New Roman"/>
      <w:b/>
    </w:rPr>
  </w:style>
  <w:style w:type="paragraph" w:styleId="ListNumber">
    <w:name w:val="List Number"/>
    <w:basedOn w:val="List"/>
    <w:rsid w:val="003029C5"/>
    <w:pPr>
      <w:numPr>
        <w:numId w:val="16"/>
      </w:numPr>
      <w:tabs>
        <w:tab w:val="clear" w:pos="340"/>
      </w:tabs>
    </w:pPr>
  </w:style>
  <w:style w:type="character" w:customStyle="1" w:styleId="WingdingSymbols">
    <w:name w:val="Wingding Symbols"/>
    <w:rsid w:val="003029C5"/>
    <w:rPr>
      <w:rFonts w:ascii="Wingdings" w:hAnsi="Wingdings"/>
    </w:rPr>
  </w:style>
  <w:style w:type="paragraph" w:customStyle="1" w:styleId="TableHeading">
    <w:name w:val="Table Heading"/>
    <w:basedOn w:val="HeadingBase"/>
    <w:rsid w:val="003029C5"/>
    <w:pPr>
      <w:keepLines/>
      <w:pBdr>
        <w:bottom w:val="single" w:sz="6" w:space="1" w:color="918585"/>
      </w:pBdr>
      <w:spacing w:before="240"/>
    </w:pPr>
  </w:style>
  <w:style w:type="character" w:customStyle="1" w:styleId="HotSpot">
    <w:name w:val="HotSpot"/>
    <w:rsid w:val="003029C5"/>
    <w:rPr>
      <w:color w:val="0033CC"/>
      <w:u w:val="none"/>
    </w:rPr>
  </w:style>
  <w:style w:type="paragraph" w:customStyle="1" w:styleId="BodyTextRight">
    <w:name w:val="Body Text Right"/>
    <w:basedOn w:val="BodyText"/>
    <w:rsid w:val="003029C5"/>
    <w:pPr>
      <w:spacing w:before="0" w:after="0"/>
      <w:jc w:val="right"/>
    </w:pPr>
  </w:style>
  <w:style w:type="paragraph" w:styleId="Index3">
    <w:name w:val="index 3"/>
    <w:basedOn w:val="ListNumber2"/>
    <w:next w:val="Normal"/>
    <w:semiHidden/>
    <w:rsid w:val="003029C5"/>
    <w:pPr>
      <w:numPr>
        <w:numId w:val="0"/>
      </w:numPr>
      <w:tabs>
        <w:tab w:val="right" w:leader="dot" w:pos="4176"/>
      </w:tabs>
    </w:pPr>
  </w:style>
  <w:style w:type="paragraph" w:styleId="ListNumber2">
    <w:name w:val="List Number 2"/>
    <w:basedOn w:val="List2"/>
    <w:rsid w:val="003029C5"/>
    <w:pPr>
      <w:numPr>
        <w:numId w:val="11"/>
      </w:numPr>
      <w:tabs>
        <w:tab w:val="clear" w:pos="1060"/>
      </w:tabs>
    </w:pPr>
  </w:style>
  <w:style w:type="paragraph" w:customStyle="1" w:styleId="MarginNote">
    <w:name w:val="Margin Note"/>
    <w:basedOn w:val="BodyText"/>
    <w:rsid w:val="003029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29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29C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29C5"/>
    <w:rPr>
      <w:sz w:val="32"/>
    </w:rPr>
  </w:style>
  <w:style w:type="paragraph" w:customStyle="1" w:styleId="HeadingProcedure">
    <w:name w:val="Heading Procedure"/>
    <w:basedOn w:val="HeadingBase"/>
    <w:next w:val="Normal"/>
    <w:rsid w:val="003029C5"/>
    <w:pPr>
      <w:tabs>
        <w:tab w:val="left" w:pos="0"/>
      </w:tabs>
      <w:spacing w:before="120" w:after="60"/>
    </w:pPr>
    <w:rPr>
      <w:i/>
      <w:color w:val="918585"/>
      <w:sz w:val="22"/>
    </w:rPr>
  </w:style>
  <w:style w:type="paragraph" w:customStyle="1" w:styleId="TableBodyText">
    <w:name w:val="Table Body Text"/>
    <w:basedOn w:val="BodyText"/>
    <w:rsid w:val="003029C5"/>
    <w:pPr>
      <w:spacing w:before="60" w:after="60"/>
    </w:pPr>
  </w:style>
  <w:style w:type="paragraph" w:customStyle="1" w:styleId="ListNote">
    <w:name w:val="List Note"/>
    <w:basedOn w:val="List"/>
    <w:rsid w:val="003029C5"/>
    <w:pPr>
      <w:pBdr>
        <w:top w:val="single" w:sz="6" w:space="2" w:color="918585"/>
        <w:bottom w:val="single" w:sz="6" w:space="2" w:color="918585"/>
      </w:pBdr>
      <w:tabs>
        <w:tab w:val="left" w:pos="1021"/>
      </w:tabs>
      <w:ind w:firstLine="0"/>
    </w:pPr>
  </w:style>
  <w:style w:type="paragraph" w:customStyle="1" w:styleId="Warning">
    <w:name w:val="Warning"/>
    <w:basedOn w:val="BodyText"/>
    <w:rsid w:val="003029C5"/>
    <w:pPr>
      <w:shd w:val="clear" w:color="auto" w:fill="D9D9D9"/>
      <w:tabs>
        <w:tab w:val="left" w:pos="992"/>
      </w:tabs>
      <w:ind w:left="119" w:right="119"/>
    </w:pPr>
    <w:rPr>
      <w:sz w:val="20"/>
    </w:rPr>
  </w:style>
  <w:style w:type="paragraph" w:customStyle="1" w:styleId="MarginIcons">
    <w:name w:val="Margin Icons"/>
    <w:basedOn w:val="BodyText"/>
    <w:rsid w:val="003029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29C5"/>
    <w:rPr>
      <w:rFonts w:ascii="Courier New" w:hAnsi="Courier New"/>
    </w:rPr>
  </w:style>
  <w:style w:type="paragraph" w:customStyle="1" w:styleId="NoteBullet">
    <w:name w:val="Note Bullet"/>
    <w:basedOn w:val="Note"/>
    <w:rsid w:val="003029C5"/>
    <w:pPr>
      <w:tabs>
        <w:tab w:val="clear" w:pos="680"/>
      </w:tabs>
      <w:spacing w:before="60" w:after="60"/>
    </w:pPr>
  </w:style>
  <w:style w:type="paragraph" w:customStyle="1" w:styleId="SubHeading2">
    <w:name w:val="SubHeading2"/>
    <w:basedOn w:val="HeadingBase"/>
    <w:rsid w:val="003029C5"/>
    <w:pPr>
      <w:spacing w:before="240" w:after="60"/>
    </w:pPr>
    <w:rPr>
      <w:sz w:val="20"/>
    </w:rPr>
  </w:style>
  <w:style w:type="paragraph" w:customStyle="1" w:styleId="SubHeading1">
    <w:name w:val="SubHeading1"/>
    <w:basedOn w:val="HeadingBase"/>
    <w:rsid w:val="003029C5"/>
    <w:pPr>
      <w:spacing w:before="240" w:after="60"/>
    </w:pPr>
    <w:rPr>
      <w:color w:val="918585"/>
      <w:sz w:val="22"/>
    </w:rPr>
  </w:style>
  <w:style w:type="paragraph" w:customStyle="1" w:styleId="SideHeading">
    <w:name w:val="Side Heading"/>
    <w:basedOn w:val="HeadingBase"/>
    <w:rsid w:val="003029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29C5"/>
    <w:pPr>
      <w:numPr>
        <w:numId w:val="12"/>
      </w:numPr>
    </w:pPr>
  </w:style>
  <w:style w:type="paragraph" w:styleId="PlainText">
    <w:name w:val="Plain Text"/>
    <w:basedOn w:val="Normal"/>
    <w:link w:val="PlainTextChar"/>
    <w:rsid w:val="003029C5"/>
    <w:rPr>
      <w:sz w:val="20"/>
    </w:rPr>
  </w:style>
  <w:style w:type="character" w:customStyle="1" w:styleId="PlainTextChar">
    <w:name w:val="Plain Text Char"/>
    <w:basedOn w:val="DefaultParagraphFont"/>
    <w:link w:val="PlainText"/>
    <w:rsid w:val="003029C5"/>
    <w:rPr>
      <w:rFonts w:ascii="Courier New" w:eastAsia="Times New Roman" w:hAnsi="Courier New" w:cs="Times New Roman"/>
      <w:sz w:val="20"/>
      <w:szCs w:val="20"/>
      <w:lang w:eastAsia="en-US"/>
    </w:rPr>
  </w:style>
  <w:style w:type="character" w:customStyle="1" w:styleId="MenuOption">
    <w:name w:val="Menu Option"/>
    <w:basedOn w:val="DefaultParagraphFont"/>
    <w:rsid w:val="003029C5"/>
    <w:rPr>
      <w:b/>
      <w:smallCaps/>
    </w:rPr>
  </w:style>
  <w:style w:type="paragraph" w:customStyle="1" w:styleId="TableListNumber">
    <w:name w:val="Table List Number"/>
    <w:basedOn w:val="ListNumber"/>
    <w:rsid w:val="003029C5"/>
    <w:pPr>
      <w:numPr>
        <w:numId w:val="0"/>
      </w:numPr>
    </w:pPr>
  </w:style>
  <w:style w:type="paragraph" w:styleId="TOC4">
    <w:name w:val="toc 4"/>
    <w:basedOn w:val="TOCBase"/>
    <w:next w:val="Normal"/>
    <w:semiHidden/>
    <w:rsid w:val="003029C5"/>
    <w:pPr>
      <w:tabs>
        <w:tab w:val="right" w:leader="dot" w:pos="9071"/>
      </w:tabs>
      <w:ind w:left="1701"/>
    </w:pPr>
  </w:style>
  <w:style w:type="paragraph" w:customStyle="1" w:styleId="ListAlpha">
    <w:name w:val="List Alpha"/>
    <w:basedOn w:val="List"/>
    <w:rsid w:val="003029C5"/>
    <w:pPr>
      <w:numPr>
        <w:numId w:val="10"/>
      </w:numPr>
    </w:pPr>
  </w:style>
  <w:style w:type="paragraph" w:customStyle="1" w:styleId="ListAlpha2">
    <w:name w:val="List Alpha 2"/>
    <w:basedOn w:val="List2"/>
    <w:rsid w:val="003029C5"/>
    <w:pPr>
      <w:numPr>
        <w:numId w:val="9"/>
      </w:numPr>
    </w:pPr>
  </w:style>
  <w:style w:type="paragraph" w:styleId="List2">
    <w:name w:val="List 2"/>
    <w:basedOn w:val="BodyText"/>
    <w:rsid w:val="003029C5"/>
    <w:pPr>
      <w:tabs>
        <w:tab w:val="left" w:pos="680"/>
      </w:tabs>
      <w:spacing w:before="60" w:after="60"/>
      <w:ind w:left="680" w:hanging="340"/>
    </w:pPr>
  </w:style>
  <w:style w:type="paragraph" w:styleId="List3">
    <w:name w:val="List 3"/>
    <w:basedOn w:val="BodyText"/>
    <w:rsid w:val="003029C5"/>
    <w:pPr>
      <w:tabs>
        <w:tab w:val="left" w:pos="1021"/>
      </w:tabs>
      <w:spacing w:before="60" w:after="60"/>
      <w:ind w:left="1020" w:hanging="340"/>
    </w:pPr>
  </w:style>
  <w:style w:type="paragraph" w:styleId="List4">
    <w:name w:val="List 4"/>
    <w:basedOn w:val="BodyText"/>
    <w:rsid w:val="003029C5"/>
    <w:pPr>
      <w:tabs>
        <w:tab w:val="left" w:pos="1361"/>
      </w:tabs>
      <w:spacing w:before="60" w:after="60"/>
      <w:ind w:left="1361" w:hanging="340"/>
    </w:pPr>
  </w:style>
  <w:style w:type="paragraph" w:styleId="List5">
    <w:name w:val="List 5"/>
    <w:basedOn w:val="BodyText"/>
    <w:rsid w:val="003029C5"/>
    <w:pPr>
      <w:tabs>
        <w:tab w:val="left" w:pos="1701"/>
      </w:tabs>
      <w:spacing w:before="60" w:after="60"/>
      <w:ind w:left="1701" w:hanging="340"/>
    </w:pPr>
  </w:style>
  <w:style w:type="paragraph" w:styleId="ListBullet4">
    <w:name w:val="List Bullet 4"/>
    <w:basedOn w:val="List4"/>
    <w:rsid w:val="003029C5"/>
    <w:pPr>
      <w:numPr>
        <w:numId w:val="4"/>
      </w:numPr>
      <w:tabs>
        <w:tab w:val="clear" w:pos="1361"/>
      </w:tabs>
    </w:pPr>
  </w:style>
  <w:style w:type="paragraph" w:styleId="ListBullet5">
    <w:name w:val="List Bullet 5"/>
    <w:basedOn w:val="List5"/>
    <w:rsid w:val="003029C5"/>
    <w:pPr>
      <w:numPr>
        <w:numId w:val="5"/>
      </w:numPr>
    </w:pPr>
  </w:style>
  <w:style w:type="paragraph" w:styleId="ListContinue2">
    <w:name w:val="List Continue 2"/>
    <w:basedOn w:val="List2"/>
    <w:rsid w:val="003029C5"/>
    <w:pPr>
      <w:ind w:firstLine="0"/>
    </w:pPr>
  </w:style>
  <w:style w:type="paragraph" w:styleId="ListContinue3">
    <w:name w:val="List Continue 3"/>
    <w:basedOn w:val="List3"/>
    <w:rsid w:val="003029C5"/>
    <w:pPr>
      <w:ind w:left="1021" w:firstLine="0"/>
    </w:pPr>
  </w:style>
  <w:style w:type="paragraph" w:styleId="ListContinue4">
    <w:name w:val="List Continue 4"/>
    <w:basedOn w:val="List4"/>
    <w:rsid w:val="003029C5"/>
    <w:pPr>
      <w:ind w:firstLine="0"/>
    </w:pPr>
  </w:style>
  <w:style w:type="paragraph" w:styleId="ListContinue5">
    <w:name w:val="List Continue 5"/>
    <w:basedOn w:val="List5"/>
    <w:rsid w:val="003029C5"/>
    <w:pPr>
      <w:ind w:firstLine="0"/>
    </w:pPr>
  </w:style>
  <w:style w:type="paragraph" w:styleId="ListNumber3">
    <w:name w:val="List Number 3"/>
    <w:basedOn w:val="List3"/>
    <w:rsid w:val="003029C5"/>
    <w:pPr>
      <w:numPr>
        <w:numId w:val="6"/>
      </w:numPr>
    </w:pPr>
  </w:style>
  <w:style w:type="paragraph" w:styleId="ListNumber4">
    <w:name w:val="List Number 4"/>
    <w:basedOn w:val="List4"/>
    <w:rsid w:val="003029C5"/>
    <w:pPr>
      <w:numPr>
        <w:numId w:val="7"/>
      </w:numPr>
    </w:pPr>
  </w:style>
  <w:style w:type="paragraph" w:styleId="ListNumber5">
    <w:name w:val="List Number 5"/>
    <w:basedOn w:val="List5"/>
    <w:rsid w:val="003029C5"/>
    <w:pPr>
      <w:numPr>
        <w:numId w:val="8"/>
      </w:numPr>
    </w:pPr>
  </w:style>
  <w:style w:type="paragraph" w:styleId="BlockText">
    <w:name w:val="Block Text"/>
    <w:basedOn w:val="Normal"/>
    <w:rsid w:val="003029C5"/>
    <w:pPr>
      <w:spacing w:after="120"/>
      <w:ind w:left="1440" w:right="1440"/>
    </w:pPr>
  </w:style>
  <w:style w:type="character" w:customStyle="1" w:styleId="Subscript">
    <w:name w:val="Subscript"/>
    <w:basedOn w:val="DefaultParagraphFont"/>
    <w:rsid w:val="003029C5"/>
    <w:rPr>
      <w:sz w:val="16"/>
      <w:vertAlign w:val="subscript"/>
    </w:rPr>
  </w:style>
  <w:style w:type="character" w:customStyle="1" w:styleId="Superscript">
    <w:name w:val="Superscript"/>
    <w:basedOn w:val="DefaultParagraphFont"/>
    <w:rsid w:val="003029C5"/>
    <w:rPr>
      <w:sz w:val="16"/>
      <w:vertAlign w:val="superscript"/>
    </w:rPr>
  </w:style>
  <w:style w:type="character" w:customStyle="1" w:styleId="Symbols">
    <w:name w:val="Symbols"/>
    <w:basedOn w:val="DefaultParagraphFont"/>
    <w:rsid w:val="003029C5"/>
    <w:rPr>
      <w:rFonts w:ascii="Symbol" w:hAnsi="Symbol"/>
    </w:rPr>
  </w:style>
  <w:style w:type="character" w:customStyle="1" w:styleId="MenuOptions">
    <w:name w:val="Menu Options"/>
    <w:basedOn w:val="DefaultParagraphFont"/>
    <w:rsid w:val="003029C5"/>
    <w:rPr>
      <w:rFonts w:ascii="Arial Narrow" w:hAnsi="Arial Narrow"/>
      <w:smallCaps/>
    </w:rPr>
  </w:style>
  <w:style w:type="character" w:customStyle="1" w:styleId="Buttons">
    <w:name w:val="Buttons"/>
    <w:basedOn w:val="DefaultParagraphFont"/>
    <w:rsid w:val="003029C5"/>
    <w:rPr>
      <w:b/>
    </w:rPr>
  </w:style>
  <w:style w:type="character" w:customStyle="1" w:styleId="Underlined">
    <w:name w:val="Underlined"/>
    <w:basedOn w:val="DefaultParagraphFont"/>
    <w:rsid w:val="003029C5"/>
    <w:rPr>
      <w:u w:val="single"/>
    </w:rPr>
  </w:style>
  <w:style w:type="paragraph" w:customStyle="1" w:styleId="TableBodyTextRight">
    <w:name w:val="Table Body Text Right"/>
    <w:basedOn w:val="TableBodyText"/>
    <w:rsid w:val="003029C5"/>
    <w:pPr>
      <w:widowControl w:val="0"/>
      <w:autoSpaceDE w:val="0"/>
      <w:autoSpaceDN w:val="0"/>
      <w:adjustRightInd w:val="0"/>
      <w:jc w:val="right"/>
    </w:pPr>
    <w:rPr>
      <w:rFonts w:cs="Arial"/>
      <w:szCs w:val="18"/>
    </w:rPr>
  </w:style>
  <w:style w:type="paragraph" w:customStyle="1" w:styleId="CopyrightText">
    <w:name w:val="Copyright Text"/>
    <w:basedOn w:val="BodyText"/>
    <w:rsid w:val="003029C5"/>
    <w:rPr>
      <w:sz w:val="18"/>
    </w:rPr>
  </w:style>
  <w:style w:type="paragraph" w:customStyle="1" w:styleId="BodySmallRight">
    <w:name w:val="Body Small Right"/>
    <w:basedOn w:val="BodyTextRight"/>
    <w:rsid w:val="003029C5"/>
    <w:rPr>
      <w:sz w:val="18"/>
      <w:szCs w:val="18"/>
    </w:rPr>
  </w:style>
  <w:style w:type="paragraph" w:customStyle="1" w:styleId="MarginEdition">
    <w:name w:val="Margin Edition"/>
    <w:basedOn w:val="MarginNote"/>
    <w:rsid w:val="003029C5"/>
    <w:pPr>
      <w:spacing w:before="0" w:after="0"/>
    </w:pPr>
    <w:rPr>
      <w:rFonts w:ascii="Times New Roman" w:hAnsi="Times New Roman"/>
      <w:color w:val="999999"/>
    </w:rPr>
  </w:style>
  <w:style w:type="paragraph" w:customStyle="1" w:styleId="Spacer">
    <w:name w:val="Spacer"/>
    <w:basedOn w:val="Normal"/>
    <w:rsid w:val="003029C5"/>
    <w:rPr>
      <w:sz w:val="2"/>
      <w:szCs w:val="2"/>
    </w:rPr>
  </w:style>
  <w:style w:type="character" w:customStyle="1" w:styleId="Small">
    <w:name w:val="Small"/>
    <w:basedOn w:val="DefaultParagraphFont"/>
    <w:rsid w:val="003029C5"/>
    <w:rPr>
      <w:sz w:val="16"/>
    </w:rPr>
  </w:style>
  <w:style w:type="paragraph" w:customStyle="1" w:styleId="WideTable">
    <w:name w:val="Wide Table"/>
    <w:basedOn w:val="Normal"/>
    <w:rsid w:val="003029C5"/>
    <w:pPr>
      <w:ind w:left="-1418"/>
    </w:pPr>
    <w:rPr>
      <w:sz w:val="2"/>
      <w:szCs w:val="2"/>
    </w:rPr>
  </w:style>
  <w:style w:type="character" w:styleId="PageNumber">
    <w:name w:val="page number"/>
    <w:basedOn w:val="DefaultParagraphFont"/>
    <w:rsid w:val="003029C5"/>
  </w:style>
  <w:style w:type="paragraph" w:styleId="Quote">
    <w:name w:val="Quote"/>
    <w:basedOn w:val="Heading1"/>
    <w:link w:val="QuoteChar"/>
    <w:qFormat/>
    <w:rsid w:val="003029C5"/>
    <w:rPr>
      <w:b w:val="0"/>
      <w:sz w:val="72"/>
      <w:szCs w:val="72"/>
      <w:lang w:val="en-NZ"/>
    </w:rPr>
  </w:style>
  <w:style w:type="character" w:customStyle="1" w:styleId="QuoteChar">
    <w:name w:val="Quote Char"/>
    <w:basedOn w:val="DefaultParagraphFont"/>
    <w:link w:val="Quote"/>
    <w:rsid w:val="003029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29C5"/>
    <w:pPr>
      <w:pageBreakBefore/>
    </w:pPr>
  </w:style>
  <w:style w:type="paragraph" w:customStyle="1" w:styleId="Border">
    <w:name w:val="Border"/>
    <w:basedOn w:val="Normal"/>
    <w:qFormat/>
    <w:rsid w:val="003029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29C5"/>
    <w:rPr>
      <w:b/>
      <w:bCs/>
      <w:i/>
      <w:iCs/>
      <w:color w:val="auto"/>
    </w:rPr>
  </w:style>
  <w:style w:type="paragraph" w:styleId="IntenseQuote">
    <w:name w:val="Intense Quote"/>
    <w:basedOn w:val="Normal"/>
    <w:next w:val="Normal"/>
    <w:link w:val="IntenseQuoteChar"/>
    <w:uiPriority w:val="30"/>
    <w:qFormat/>
    <w:rsid w:val="003029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29C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29C5"/>
    <w:rPr>
      <w:smallCaps/>
      <w:color w:val="auto"/>
      <w:u w:val="single"/>
    </w:rPr>
  </w:style>
  <w:style w:type="character" w:styleId="IntenseReference">
    <w:name w:val="Intense Reference"/>
    <w:basedOn w:val="DefaultParagraphFont"/>
    <w:uiPriority w:val="32"/>
    <w:qFormat/>
    <w:rsid w:val="003029C5"/>
    <w:rPr>
      <w:b/>
      <w:bCs/>
      <w:smallCaps/>
      <w:color w:val="auto"/>
      <w:spacing w:val="5"/>
      <w:u w:val="single"/>
    </w:rPr>
  </w:style>
  <w:style w:type="paragraph" w:customStyle="1" w:styleId="2ColumnHeading">
    <w:name w:val="2Column Heading"/>
    <w:basedOn w:val="BodyText"/>
    <w:qFormat/>
    <w:rsid w:val="003029C5"/>
    <w:pPr>
      <w:spacing w:after="60"/>
      <w:ind w:left="-2268"/>
    </w:pPr>
    <w:rPr>
      <w:b/>
    </w:rPr>
  </w:style>
  <w:style w:type="paragraph" w:customStyle="1" w:styleId="Heading1TOC">
    <w:name w:val="Heading1 TOC"/>
    <w:basedOn w:val="Normal"/>
    <w:qFormat/>
    <w:rsid w:val="003029C5"/>
    <w:pPr>
      <w:spacing w:before="240" w:after="120"/>
    </w:pPr>
    <w:rPr>
      <w:rFonts w:ascii="Times New Roman" w:hAnsi="Times New Roman"/>
      <w:b/>
      <w:sz w:val="32"/>
    </w:rPr>
  </w:style>
  <w:style w:type="paragraph" w:customStyle="1" w:styleId="Heading2TOC">
    <w:name w:val="Heading2 TOC"/>
    <w:basedOn w:val="Normal"/>
    <w:qFormat/>
    <w:rsid w:val="003029C5"/>
    <w:pPr>
      <w:spacing w:before="240" w:after="60"/>
    </w:pPr>
    <w:rPr>
      <w:rFonts w:ascii="Times New Roman" w:hAnsi="Times New Roman"/>
      <w:b/>
      <w:sz w:val="28"/>
    </w:rPr>
  </w:style>
  <w:style w:type="character" w:customStyle="1" w:styleId="Underline">
    <w:name w:val="Underline"/>
    <w:basedOn w:val="DefaultParagraphFont"/>
    <w:qFormat/>
    <w:rsid w:val="003029C5"/>
    <w:rPr>
      <w:u w:val="single"/>
    </w:rPr>
  </w:style>
  <w:style w:type="character" w:customStyle="1" w:styleId="BoldandItalics">
    <w:name w:val="Bold and Italics"/>
    <w:qFormat/>
    <w:rsid w:val="003029C5"/>
    <w:rPr>
      <w:b/>
      <w:i/>
      <w:u w:val="none"/>
    </w:rPr>
  </w:style>
  <w:style w:type="paragraph" w:styleId="BalloonText">
    <w:name w:val="Balloon Text"/>
    <w:basedOn w:val="Normal"/>
    <w:link w:val="BalloonTextChar"/>
    <w:rsid w:val="003029C5"/>
    <w:rPr>
      <w:rFonts w:ascii="Tahoma" w:hAnsi="Tahoma" w:cs="Tahoma"/>
      <w:sz w:val="16"/>
      <w:szCs w:val="16"/>
    </w:rPr>
  </w:style>
  <w:style w:type="character" w:customStyle="1" w:styleId="BalloonTextChar">
    <w:name w:val="Balloon Text Char"/>
    <w:basedOn w:val="DefaultParagraphFont"/>
    <w:link w:val="BalloonText"/>
    <w:rsid w:val="003029C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29C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029C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29C5"/>
    <w:rPr>
      <w:b/>
      <w:color w:val="660033"/>
      <w:spacing w:val="0"/>
    </w:rPr>
  </w:style>
  <w:style w:type="paragraph" w:customStyle="1" w:styleId="Nameditemlist">
    <w:name w:val="Named item list"/>
    <w:basedOn w:val="BodyText"/>
    <w:qFormat/>
    <w:rsid w:val="003029C5"/>
    <w:pPr>
      <w:tabs>
        <w:tab w:val="left" w:pos="2835"/>
      </w:tabs>
      <w:ind w:left="2835" w:hanging="2835"/>
    </w:pPr>
  </w:style>
  <w:style w:type="paragraph" w:customStyle="1" w:styleId="BodyTextnopadding">
    <w:name w:val="Body Text no padding"/>
    <w:basedOn w:val="BodyText"/>
    <w:qFormat/>
    <w:rsid w:val="003029C5"/>
    <w:pPr>
      <w:spacing w:before="0" w:after="0"/>
    </w:pPr>
  </w:style>
  <w:style w:type="paragraph" w:customStyle="1" w:styleId="BodyTextBold">
    <w:name w:val="Body Text Bold"/>
    <w:basedOn w:val="BodyText"/>
    <w:qFormat/>
    <w:rsid w:val="003029C5"/>
    <w:rPr>
      <w:b/>
    </w:rPr>
  </w:style>
  <w:style w:type="character" w:styleId="Hyperlink">
    <w:name w:val="Hyperlink"/>
    <w:basedOn w:val="DefaultParagraphFont"/>
    <w:uiPriority w:val="99"/>
    <w:unhideWhenUsed/>
    <w:rsid w:val="000A689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1466</Words>
  <Characters>9180</Characters>
  <Application>Microsoft Office Word</Application>
  <DocSecurity>0</DocSecurity>
  <Lines>286</Lines>
  <Paragraphs>186</Paragraphs>
  <ScaleCrop>false</ScaleCrop>
  <Company>Author-it Software Corporation Ltd.</Company>
  <LinksUpToDate>false</LinksUpToDate>
  <CharactersWithSpaces>10460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HLTPAT002 Perform venous blood collections</dc:title>
  <dc:subject>Approved</dc:subject>
  <dc:creator>HumanAbility</dc:creator>
  <cp:keywords>Release: 2</cp:keywords>
  <dc:description>Review Date: 12 April 2008</dc:description>
  <cp:lastModifiedBy>HSD_TPCMSd.prod</cp:lastModifiedBy>
  <cp:revision>3</cp:revision>
  <dcterms:created xsi:type="dcterms:W3CDTF">2025-03-02T02:39:00Z</dcterms:created>
  <dcterms:modified xsi:type="dcterms:W3CDTF">2025-03-02T02:39:00Z</dcterms:modified>
</cp:coreProperties>
</file>