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B87" w:rsidP="009E2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HLTOUT007 Transport non-emergency patients under operational conditions</w:t>
      </w:r>
      <w:r>
        <w:fldChar w:fldCharType="end"/>
      </w:r>
    </w:p>
    <w:p w:rsidR="009E2B87" w:rsidP="009E2B87">
      <w:pPr>
        <w:pStyle w:val="Version"/>
        <w:sectPr w:rsidSect="00BC2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2E78" w:rsidP="00BC2E78">
      <w:pPr>
        <w:pStyle w:val="SuperHeading"/>
      </w:pPr>
      <w:r w:rsidRPr="00BC2E78">
        <w:t>HLTOUT007</w:t>
      </w:r>
      <w:r w:rsidRPr="00BC2E78">
        <w:t xml:space="preserve"> Transport non-emergency patients under operational conditions</w:t>
      </w:r>
    </w:p>
    <w:p w:rsidR="00000000" w:rsidRPr="00BC2E78" w:rsidP="00BC2E78">
      <w:pPr>
        <w:pStyle w:val="Heading1"/>
      </w:pPr>
      <w:bookmarkStart w:id="1" w:name="O_1165619"/>
      <w:bookmarkEnd w:id="1"/>
      <w:r w:rsidRPr="00BC2E7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71"/>
        <w:gridCol w:w="7825"/>
      </w:tblGrid>
      <w:tr w:rsidTr="009E2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Comments</w:t>
            </w:r>
          </w:p>
        </w:tc>
      </w:tr>
      <w:tr w:rsidTr="009E2B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t xml:space="preserve">Release 2. HLTOUT007 Transport non-emergency patients under operational conditions supersedes and is equivalent to Release 1.  HLTOUT007 Transport non-emergency patients under operational conditions. </w:t>
            </w:r>
          </w:p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Minor changes. Mapping Table notes updated for the supe</w:t>
            </w:r>
            <w:r w:rsidRPr="00BC2E78">
              <w:t>rseded unit HLTAMB014 Transport non-emergency patients under operational conditions.</w:t>
            </w:r>
          </w:p>
        </w:tc>
      </w:tr>
      <w:tr w:rsidTr="009E2B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t>Release 1. HLTOUT007 Transport non-emergency patients under operational conditions supersedes and is not equivalent to HLTAMB014 Transport non-emergency patien</w:t>
            </w:r>
            <w:r w:rsidRPr="00BC2E78">
              <w:t>ts under operational conditions.</w:t>
            </w:r>
          </w:p>
        </w:tc>
      </w:tr>
    </w:tbl>
    <w:p w:rsidR="00000000" w:rsidRPr="00BC2E78" w:rsidP="00BC2E78">
      <w:pPr>
        <w:pStyle w:val="BodyText"/>
      </w:pPr>
    </w:p>
    <w:p w:rsidR="00000000" w:rsidRPr="00BC2E78" w:rsidP="00BC2E78">
      <w:pPr>
        <w:pStyle w:val="AllowPageBreak"/>
      </w:pPr>
    </w:p>
    <w:p w:rsidR="00000000" w:rsidRPr="00BC2E78" w:rsidP="00BC2E78">
      <w:pPr>
        <w:pStyle w:val="Heading1"/>
      </w:pPr>
      <w:bookmarkStart w:id="2" w:name="O_1165618"/>
      <w:bookmarkEnd w:id="2"/>
      <w:r w:rsidRPr="00BC2E78">
        <w:t>Application</w:t>
      </w:r>
    </w:p>
    <w:p w:rsidR="00000000" w:rsidRPr="00BC2E78" w:rsidP="009E2B87">
      <w:pPr>
        <w:pStyle w:val="BodyText"/>
      </w:pPr>
      <w:r w:rsidRPr="00BC2E78">
        <w:t xml:space="preserve">This unit describes the skills and knowledge required to load, unload and drive vehicles safely to transport vehicle occupants to and from a facility </w:t>
      </w:r>
      <w:r w:rsidRPr="00BC2E78">
        <w:t>or service in non-emergency conditions. It includes using communication equipment and checking vehicles and equipment in order to restock and remedy faults.</w:t>
      </w:r>
    </w:p>
    <w:p w:rsidR="00000000" w:rsidRPr="00BC2E78" w:rsidP="009E2B87">
      <w:pPr>
        <w:pStyle w:val="BodyText"/>
      </w:pPr>
      <w:r w:rsidRPr="00BC2E78">
        <w:t>This unit applies to pre-hospital and out-of-hospital health care workers.</w:t>
      </w:r>
    </w:p>
    <w:p w:rsidR="00000000" w:rsidRPr="009E2B87" w:rsidP="009E2B87">
      <w:pPr>
        <w:pStyle w:val="BodyText"/>
        <w:rPr>
          <w:i/>
        </w:rPr>
      </w:pPr>
      <w:r w:rsidRPr="009E2B87">
        <w:rPr>
          <w:rStyle w:val="Emphasis"/>
        </w:rPr>
        <w:t xml:space="preserve">The skills in this unit </w:t>
      </w:r>
      <w:r w:rsidRPr="009E2B87">
        <w:rPr>
          <w:rStyle w:val="Emphasis"/>
        </w:rPr>
        <w:t>must be applied in accordance with Commonwealth and State or Territory legislation, Australian Standards and industry codes of practice.</w:t>
      </w:r>
    </w:p>
    <w:p w:rsidR="00000000" w:rsidRPr="00BC2E78" w:rsidP="00BC2E78">
      <w:pPr>
        <w:pStyle w:val="Heading1"/>
      </w:pPr>
      <w:bookmarkStart w:id="3" w:name="O_1165617"/>
      <w:bookmarkEnd w:id="3"/>
      <w:r w:rsidRPr="00BC2E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E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rPr>
                <w:rStyle w:val="SpecialBold"/>
              </w:rPr>
              <w:t>PERFORMANCE CRITERIA</w:t>
            </w:r>
          </w:p>
        </w:tc>
      </w:tr>
      <w:tr w:rsidTr="009E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Elements define the essential outcom</w:t>
            </w:r>
            <w:r w:rsidRPr="00BC2E78">
              <w:t>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Performance criteria describe the performance needed to demonstrate achievement of the element.</w:t>
            </w:r>
          </w:p>
        </w:tc>
      </w:tr>
      <w:tr w:rsidTr="009E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1. Prepare and check vehicle and equipment.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List"/>
            </w:pPr>
            <w:r w:rsidRPr="00BC2E78">
              <w:t>1.1. Check vehicle and equipment systematically and comprehensively based on a local vehicle checklist or inventory.</w:t>
            </w:r>
          </w:p>
          <w:p w:rsidR="00000000" w:rsidRPr="00BC2E78" w:rsidP="00BC2E78">
            <w:pPr>
              <w:pStyle w:val="List"/>
            </w:pPr>
            <w:r w:rsidRPr="00BC2E78">
              <w:t>1.2. Conduct vehicle checks on a regular basis according to organisational policies and procedures to ensure continuing serviceability of v</w:t>
            </w:r>
            <w:r w:rsidRPr="00BC2E78">
              <w:t>ehicle and equipment.</w:t>
            </w:r>
          </w:p>
          <w:p w:rsidR="00000000" w:rsidRPr="00BC2E78" w:rsidP="00BC2E78">
            <w:pPr>
              <w:pStyle w:val="List"/>
            </w:pPr>
            <w:r w:rsidRPr="00BC2E78">
              <w:t xml:space="preserve">1.3. Ensure interior and exterior cleanliness of vehicle in accordance with organisational policies and </w:t>
            </w:r>
            <w:r w:rsidRPr="00BC2E78">
              <w:t>procedures for minimisation of infection risk to vehicle occupants.</w:t>
            </w:r>
          </w:p>
          <w:p w:rsidR="00000000" w:rsidRPr="00BC2E78" w:rsidP="00BC2E78">
            <w:pPr>
              <w:pStyle w:val="List"/>
            </w:pPr>
            <w:r w:rsidRPr="00BC2E78">
              <w:t>1.4. Maintain vehicle operating stock to organisational minimu</w:t>
            </w:r>
            <w:r w:rsidRPr="00BC2E78">
              <w:t>m and maximum levels.</w:t>
            </w:r>
          </w:p>
          <w:p w:rsidR="00000000" w:rsidP="00BC2E78">
            <w:pPr>
              <w:pStyle w:val="List"/>
              <w:rPr>
                <w:lang w:val="en-NZ"/>
              </w:rPr>
            </w:pPr>
            <w:r w:rsidRPr="00BC2E78">
              <w:t>1.5. Maintain vehicle and equipment according to established clinical guidelines and protocols.</w:t>
            </w:r>
          </w:p>
        </w:tc>
      </w:tr>
      <w:tr w:rsidTr="009E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2. Ensure faults in vehicle and equipment are remedied.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List"/>
            </w:pPr>
            <w:r w:rsidRPr="00BC2E78">
              <w:t>2.1. Identify and report general nature of faults in accordance with organisation</w:t>
            </w:r>
            <w:r w:rsidRPr="00BC2E78">
              <w:t>al policies and procedures.</w:t>
            </w:r>
          </w:p>
          <w:p w:rsidR="00000000" w:rsidRPr="00BC2E78" w:rsidP="00BC2E78">
            <w:pPr>
              <w:pStyle w:val="List"/>
            </w:pPr>
            <w:r w:rsidRPr="00BC2E78">
              <w:t>2.2. Assess risk of all faults, malfunctioning vehicle or equipment against patient care priorities and notify personnel in accordance with organisational policies and procedures.</w:t>
            </w:r>
          </w:p>
          <w:p w:rsidR="00000000" w:rsidP="00BC2E78">
            <w:pPr>
              <w:pStyle w:val="List"/>
              <w:rPr>
                <w:lang w:val="en-NZ"/>
              </w:rPr>
            </w:pPr>
            <w:r w:rsidRPr="00BC2E78">
              <w:t>2.3. Establish need for additional or replacemen</w:t>
            </w:r>
            <w:r w:rsidRPr="00BC2E78">
              <w:t>t resources and communicate to other workers.</w:t>
            </w:r>
          </w:p>
        </w:tc>
      </w:tr>
      <w:tr w:rsidTr="009E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3. Convey and receive information relating to transport.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List"/>
            </w:pPr>
            <w:r w:rsidRPr="00BC2E78">
              <w:t>3.1. Use communication techniques and procedures consistent with legislation and according to established clinical guidelines and protocols.</w:t>
            </w:r>
          </w:p>
          <w:p w:rsidR="00000000" w:rsidP="00BC2E78">
            <w:pPr>
              <w:pStyle w:val="List"/>
              <w:rPr>
                <w:lang w:val="en-NZ"/>
              </w:rPr>
            </w:pPr>
            <w:r w:rsidRPr="00BC2E78">
              <w:t>3.2. Notify</w:t>
            </w:r>
            <w:r w:rsidRPr="00BC2E78">
              <w:t xml:space="preserve"> receiving facility according to local standard non-emergency patient transport procedures.</w:t>
            </w:r>
          </w:p>
        </w:tc>
      </w:tr>
      <w:tr w:rsidTr="009E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List"/>
              <w:rPr>
                <w:lang w:val="en-NZ"/>
              </w:rPr>
            </w:pPr>
            <w:r w:rsidRPr="00BC2E78">
              <w:t>4. Load, unload and secure vehicle occupants for transportation.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List"/>
            </w:pPr>
            <w:r w:rsidRPr="00BC2E78">
              <w:t>4.1. Load and unload patient, consistent with safe work practices and organisational policy and procedures.</w:t>
            </w:r>
          </w:p>
          <w:p w:rsidR="00000000" w:rsidRPr="00BC2E78" w:rsidP="00BC2E78">
            <w:pPr>
              <w:pStyle w:val="List"/>
            </w:pPr>
            <w:r w:rsidRPr="00BC2E78">
              <w:t>4.2. Ensure support or assistance is provided during loading and unloading of patient.</w:t>
            </w:r>
          </w:p>
          <w:p w:rsidR="00000000" w:rsidRPr="00BC2E78" w:rsidP="00BC2E78">
            <w:pPr>
              <w:pStyle w:val="List"/>
            </w:pPr>
            <w:r w:rsidRPr="00BC2E78">
              <w:t xml:space="preserve">4.3. Transport others to accompany the patient, where such a </w:t>
            </w:r>
            <w:r w:rsidRPr="00BC2E78">
              <w:t>need has been identified and there is a capacity to do so, in accordance with established clinical guidelines and protocols.</w:t>
            </w:r>
          </w:p>
          <w:p w:rsidR="00000000" w:rsidRPr="00BC2E78" w:rsidP="00BC2E78">
            <w:pPr>
              <w:pStyle w:val="List"/>
            </w:pPr>
            <w:r w:rsidRPr="00BC2E78">
              <w:t>4.4 Ensure vehicle occupants are secured in vehicle according to organisational policies and procedures.</w:t>
            </w:r>
          </w:p>
          <w:p w:rsidR="00000000" w:rsidP="00BC2E78">
            <w:pPr>
              <w:pStyle w:val="List"/>
              <w:rPr>
                <w:lang w:val="en-NZ"/>
              </w:rPr>
            </w:pPr>
            <w:r w:rsidRPr="00BC2E78">
              <w:t>4.5. Organise and secure e</w:t>
            </w:r>
            <w:r w:rsidRPr="00BC2E78">
              <w:t>quipment in accordance with Australian Standards, legislation and organisational policies and procedures.</w:t>
            </w:r>
          </w:p>
        </w:tc>
      </w:tr>
      <w:tr w:rsidTr="009E2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5. Transport patient under routine driving conditions.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List"/>
            </w:pPr>
            <w:r w:rsidRPr="00BC2E78">
              <w:t xml:space="preserve">5.1. Establish and maintain communication as required between driver and vehicle occupants to </w:t>
            </w:r>
            <w:r w:rsidRPr="00BC2E78">
              <w:t>ensure effective patient care during transport.</w:t>
            </w:r>
          </w:p>
          <w:p w:rsidR="00000000" w:rsidRPr="00BC2E78" w:rsidP="00BC2E78">
            <w:pPr>
              <w:pStyle w:val="List"/>
            </w:pPr>
            <w:r w:rsidRPr="00BC2E78">
              <w:t>5.2. Drive vehicle to current road conditions and in a manner that avoids exacerbation of patient condition.</w:t>
            </w:r>
          </w:p>
          <w:p w:rsidR="00000000" w:rsidRPr="00BC2E78" w:rsidP="00BC2E78">
            <w:pPr>
              <w:pStyle w:val="List"/>
            </w:pPr>
            <w:r w:rsidRPr="00BC2E78">
              <w:t>5.3. Drive vehicle under operational conditions in a low risk manner and according to legal require</w:t>
            </w:r>
            <w:r w:rsidRPr="00BC2E78">
              <w:t>ments.</w:t>
            </w:r>
          </w:p>
          <w:p w:rsidR="00000000" w:rsidRPr="00BC2E78" w:rsidP="00BC2E78">
            <w:pPr>
              <w:pStyle w:val="List"/>
            </w:pPr>
            <w:r w:rsidRPr="00BC2E78">
              <w:t xml:space="preserve">5.4. Notify vehicle occupants of upcoming hazards to facilitate preparation and management of situation for </w:t>
            </w:r>
            <w:r w:rsidRPr="00BC2E78">
              <w:t>safety of patient and self.</w:t>
            </w:r>
          </w:p>
          <w:p w:rsidR="00000000" w:rsidRPr="00BC2E78" w:rsidP="00BC2E78">
            <w:pPr>
              <w:pStyle w:val="List"/>
            </w:pPr>
            <w:r w:rsidRPr="00BC2E78">
              <w:t>5.5. Utilise maps and Global Positioning Systems (GPS) as required to navigate to a specified destination.</w:t>
            </w:r>
          </w:p>
          <w:p w:rsidR="00000000" w:rsidRPr="00BC2E78" w:rsidP="00BC2E78">
            <w:pPr>
              <w:pStyle w:val="List"/>
            </w:pPr>
            <w:r w:rsidRPr="00BC2E78">
              <w:t>5.6. C</w:t>
            </w:r>
            <w:r w:rsidRPr="00BC2E78">
              <w:t>hoose the most efficient route and monitor factors likely to cause delays or route deviations.</w:t>
            </w:r>
          </w:p>
        </w:tc>
      </w:tr>
    </w:tbl>
    <w:p w:rsidR="00000000" w:rsidRPr="00BC2E78" w:rsidP="00BC2E78">
      <w:pPr>
        <w:pStyle w:val="BodyText"/>
      </w:pPr>
    </w:p>
    <w:p w:rsidR="00000000" w:rsidRPr="00BC2E78" w:rsidP="00BC2E78">
      <w:pPr>
        <w:pStyle w:val="AllowPageBreak"/>
      </w:pPr>
    </w:p>
    <w:p w:rsidR="00000000" w:rsidRPr="00BC2E78" w:rsidP="00BC2E78">
      <w:pPr>
        <w:pStyle w:val="Heading1"/>
      </w:pPr>
      <w:bookmarkStart w:id="4" w:name="O_1165616"/>
      <w:bookmarkEnd w:id="4"/>
      <w:r w:rsidRPr="00BC2E78">
        <w:t>Foundation Skills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BC2E78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BC2E78" w:rsidP="00BC2E78">
      <w:pPr>
        <w:pStyle w:val="BodyText"/>
      </w:pPr>
    </w:p>
    <w:p w:rsidR="00000000" w:rsidRPr="00BC2E78" w:rsidP="00BC2E78">
      <w:pPr>
        <w:pStyle w:val="AllowPageBreak"/>
      </w:pPr>
    </w:p>
    <w:p w:rsidR="00000000" w:rsidRPr="00BC2E78" w:rsidP="00BC2E78">
      <w:pPr>
        <w:pStyle w:val="Heading1"/>
      </w:pPr>
      <w:bookmarkStart w:id="5" w:name="O_1165615"/>
      <w:bookmarkEnd w:id="5"/>
      <w:r w:rsidRPr="00BC2E7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71"/>
        <w:gridCol w:w="7825"/>
      </w:tblGrid>
      <w:tr w:rsidTr="009E2B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Comments</w:t>
            </w:r>
          </w:p>
        </w:tc>
      </w:tr>
      <w:tr w:rsidTr="009E2B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t>Release 2. HLTOUT007 Transport non-emergency patients under operational conditions supersedes and is equivalent to Release 1.  HLTOUT007 Transport non-emergency patients under operatio</w:t>
            </w:r>
            <w:r w:rsidRPr="00BC2E78">
              <w:t xml:space="preserve">nal conditions. </w:t>
            </w:r>
          </w:p>
          <w:p w:rsidR="00000000" w:rsidP="00BC2E78">
            <w:pPr>
              <w:pStyle w:val="BodyText"/>
              <w:rPr>
                <w:lang w:val="en-NZ"/>
              </w:rPr>
            </w:pPr>
            <w:r w:rsidRPr="00BC2E78">
              <w:t>Minor changes. Mapping Table notes updated for the superseded unit HLTAMB014 Transport non-emergency patients under operational conditions.</w:t>
            </w:r>
          </w:p>
        </w:tc>
      </w:tr>
      <w:tr w:rsidTr="009E2B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E78" w:rsidP="00BC2E78">
            <w:pPr>
              <w:pStyle w:val="BodyText"/>
            </w:pPr>
            <w:r w:rsidRPr="00BC2E78">
              <w:t>Release 1. HLTOUT007 Transport non-emergency patients under operational conditions supersedes and is not equivalent to HLTAMB014 Transport non-emergency patients under operational conditions.</w:t>
            </w:r>
          </w:p>
        </w:tc>
      </w:tr>
    </w:tbl>
    <w:p w:rsidR="00000000" w:rsidRPr="00BC2E78" w:rsidP="00BC2E78">
      <w:pPr>
        <w:pStyle w:val="BodyText"/>
      </w:pPr>
    </w:p>
    <w:p w:rsidR="00000000" w:rsidRPr="00BC2E78" w:rsidP="00BC2E78">
      <w:pPr>
        <w:pStyle w:val="AllowPageBreak"/>
      </w:pPr>
    </w:p>
    <w:p w:rsidR="00000000" w:rsidRPr="00BC2E78" w:rsidP="00BC2E78">
      <w:pPr>
        <w:pStyle w:val="Heading1"/>
      </w:pPr>
      <w:bookmarkStart w:id="6" w:name="O_1165620"/>
      <w:bookmarkEnd w:id="6"/>
      <w:r w:rsidRPr="00BC2E78">
        <w:t>Links</w:t>
      </w:r>
    </w:p>
    <w:p w:rsidR="00000000" w:rsidRPr="00BC2E78" w:rsidP="009E2B87">
      <w:pPr>
        <w:pStyle w:val="BodyText"/>
      </w:pPr>
      <w:r w:rsidRPr="00BC2E78">
        <w:t>Companion Volume implementation guide</w:t>
      </w:r>
      <w:r w:rsidRPr="00BC2E78">
        <w:t xml:space="preserve">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C45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C2E78" w:rsidP="00BC2E78"/>
    <w:sectPr w:rsidSect="00BC2E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78" w:rsidRPr="009E2B87" w:rsidP="009E2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87" w:rsidP="00BC2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2B87" w:rsidP="00BC2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2B87" w:rsidP="00BC2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E78" w:rsidRPr="009E2B87" w:rsidP="009E2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B87" w:rsidRPr="002D2AF8" w:rsidP="00BC2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HLTOUT007 Transport non-emergency patients under operational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E2B87" w:rsidP="00BC2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E78"/>
  </w:style>
  <w:style w:type="character" w:customStyle="1" w:styleId="Heading1Char">
    <w:name w:val="Heading 1 Char"/>
    <w:basedOn w:val="DefaultParagraphFont"/>
    <w:link w:val="Heading1"/>
    <w:rsid w:val="00BC2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E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E7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C2E78"/>
    <w:rPr>
      <w:b/>
      <w:spacing w:val="0"/>
    </w:rPr>
  </w:style>
  <w:style w:type="character" w:styleId="Emphasis">
    <w:name w:val="Emphasis"/>
    <w:basedOn w:val="DefaultParagraphFont"/>
    <w:qFormat/>
    <w:rsid w:val="00BC2E78"/>
    <w:rPr>
      <w:i/>
    </w:rPr>
  </w:style>
  <w:style w:type="paragraph" w:customStyle="1" w:styleId="SuperHeading">
    <w:name w:val="SuperHeading"/>
    <w:basedOn w:val="Normal"/>
    <w:rsid w:val="00BC2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E7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C2E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2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E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E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2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E78"/>
  </w:style>
  <w:style w:type="paragraph" w:styleId="TableofFigures">
    <w:name w:val="table of figures"/>
    <w:basedOn w:val="Normal"/>
    <w:next w:val="Normal"/>
    <w:semiHidden/>
    <w:rsid w:val="00BC2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E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2E78"/>
    <w:rPr>
      <w:rFonts w:ascii="Wingdings" w:hAnsi="Wingdings"/>
    </w:rPr>
  </w:style>
  <w:style w:type="paragraph" w:customStyle="1" w:styleId="TableHeading">
    <w:name w:val="Table Heading"/>
    <w:basedOn w:val="HeadingBase"/>
    <w:rsid w:val="00BC2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E78"/>
    <w:rPr>
      <w:color w:val="0033CC"/>
      <w:u w:val="none"/>
    </w:rPr>
  </w:style>
  <w:style w:type="paragraph" w:customStyle="1" w:styleId="BodyTextRight">
    <w:name w:val="Body Text Right"/>
    <w:basedOn w:val="BodyText"/>
    <w:rsid w:val="00BC2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E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E78"/>
    <w:rPr>
      <w:sz w:val="32"/>
    </w:rPr>
  </w:style>
  <w:style w:type="paragraph" w:customStyle="1" w:styleId="HeadingProcedure">
    <w:name w:val="Heading Procedure"/>
    <w:basedOn w:val="HeadingBase"/>
    <w:next w:val="Normal"/>
    <w:rsid w:val="00BC2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E78"/>
    <w:pPr>
      <w:spacing w:before="60" w:after="60"/>
    </w:pPr>
  </w:style>
  <w:style w:type="paragraph" w:styleId="ListContinue">
    <w:name w:val="List Continue"/>
    <w:basedOn w:val="List"/>
    <w:rsid w:val="00BC2E78"/>
    <w:pPr>
      <w:ind w:firstLine="0"/>
    </w:pPr>
  </w:style>
  <w:style w:type="paragraph" w:customStyle="1" w:styleId="ListNote">
    <w:name w:val="List Note"/>
    <w:basedOn w:val="List"/>
    <w:rsid w:val="00BC2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E78"/>
    <w:rPr>
      <w:rFonts w:ascii="Courier New" w:hAnsi="Courier New"/>
    </w:rPr>
  </w:style>
  <w:style w:type="paragraph" w:customStyle="1" w:styleId="NoteBullet">
    <w:name w:val="Note Bullet"/>
    <w:basedOn w:val="Note"/>
    <w:rsid w:val="00BC2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E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2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E78"/>
    <w:rPr>
      <w:b/>
      <w:smallCaps/>
    </w:rPr>
  </w:style>
  <w:style w:type="paragraph" w:customStyle="1" w:styleId="TableListNumber">
    <w:name w:val="Table List Number"/>
    <w:basedOn w:val="ListNumber"/>
    <w:rsid w:val="00BC2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E78"/>
    <w:pPr>
      <w:numPr>
        <w:numId w:val="7"/>
      </w:numPr>
    </w:pPr>
  </w:style>
  <w:style w:type="paragraph" w:customStyle="1" w:styleId="ListAlpha2">
    <w:name w:val="List Alpha 2"/>
    <w:basedOn w:val="List2"/>
    <w:rsid w:val="00BC2E78"/>
    <w:pPr>
      <w:numPr>
        <w:numId w:val="6"/>
      </w:numPr>
    </w:pPr>
  </w:style>
  <w:style w:type="paragraph" w:styleId="List2">
    <w:name w:val="List 2"/>
    <w:basedOn w:val="BodyText"/>
    <w:rsid w:val="00BC2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E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E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2E78"/>
    <w:pPr>
      <w:numPr>
        <w:numId w:val="2"/>
      </w:numPr>
    </w:pPr>
  </w:style>
  <w:style w:type="paragraph" w:styleId="ListContinue2">
    <w:name w:val="List Continue 2"/>
    <w:basedOn w:val="List2"/>
    <w:rsid w:val="00BC2E78"/>
    <w:pPr>
      <w:ind w:firstLine="0"/>
    </w:pPr>
  </w:style>
  <w:style w:type="paragraph" w:styleId="ListContinue3">
    <w:name w:val="List Continue 3"/>
    <w:basedOn w:val="List3"/>
    <w:rsid w:val="00BC2E78"/>
    <w:pPr>
      <w:ind w:left="1021" w:firstLine="0"/>
    </w:pPr>
  </w:style>
  <w:style w:type="paragraph" w:styleId="ListContinue4">
    <w:name w:val="List Continue 4"/>
    <w:basedOn w:val="List4"/>
    <w:rsid w:val="00BC2E78"/>
    <w:pPr>
      <w:ind w:firstLine="0"/>
    </w:pPr>
  </w:style>
  <w:style w:type="paragraph" w:styleId="ListContinue5">
    <w:name w:val="List Continue 5"/>
    <w:basedOn w:val="List5"/>
    <w:rsid w:val="00BC2E78"/>
    <w:pPr>
      <w:ind w:firstLine="0"/>
    </w:pPr>
  </w:style>
  <w:style w:type="paragraph" w:styleId="ListNumber3">
    <w:name w:val="List Number 3"/>
    <w:basedOn w:val="List3"/>
    <w:rsid w:val="00BC2E78"/>
    <w:pPr>
      <w:numPr>
        <w:numId w:val="3"/>
      </w:numPr>
    </w:pPr>
  </w:style>
  <w:style w:type="paragraph" w:styleId="ListNumber4">
    <w:name w:val="List Number 4"/>
    <w:basedOn w:val="List4"/>
    <w:rsid w:val="00BC2E78"/>
    <w:pPr>
      <w:numPr>
        <w:numId w:val="4"/>
      </w:numPr>
    </w:pPr>
  </w:style>
  <w:style w:type="paragraph" w:styleId="ListNumber5">
    <w:name w:val="List Number 5"/>
    <w:basedOn w:val="List5"/>
    <w:rsid w:val="00BC2E78"/>
    <w:pPr>
      <w:numPr>
        <w:numId w:val="5"/>
      </w:numPr>
    </w:pPr>
  </w:style>
  <w:style w:type="paragraph" w:styleId="BlockText">
    <w:name w:val="Block Text"/>
    <w:basedOn w:val="Normal"/>
    <w:rsid w:val="00BC2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E78"/>
    <w:rPr>
      <w:sz w:val="16"/>
      <w:vertAlign w:val="superscript"/>
    </w:rPr>
  </w:style>
  <w:style w:type="character" w:customStyle="1" w:styleId="Symbols">
    <w:name w:val="Symbols"/>
    <w:basedOn w:val="DefaultParagraphFont"/>
    <w:rsid w:val="00BC2E78"/>
    <w:rPr>
      <w:rFonts w:ascii="Symbol" w:hAnsi="Symbol"/>
    </w:rPr>
  </w:style>
  <w:style w:type="character" w:customStyle="1" w:styleId="MenuOptions">
    <w:name w:val="Menu Options"/>
    <w:basedOn w:val="DefaultParagraphFont"/>
    <w:rsid w:val="00BC2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E78"/>
    <w:rPr>
      <w:b/>
    </w:rPr>
  </w:style>
  <w:style w:type="character" w:customStyle="1" w:styleId="Underlined">
    <w:name w:val="Underlined"/>
    <w:basedOn w:val="DefaultParagraphFont"/>
    <w:rsid w:val="00BC2E78"/>
    <w:rPr>
      <w:u w:val="single"/>
    </w:rPr>
  </w:style>
  <w:style w:type="paragraph" w:customStyle="1" w:styleId="TableBodyTextRight">
    <w:name w:val="Table Body Text Right"/>
    <w:basedOn w:val="TableBodyText"/>
    <w:rsid w:val="00BC2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E78"/>
    <w:rPr>
      <w:sz w:val="18"/>
    </w:rPr>
  </w:style>
  <w:style w:type="paragraph" w:customStyle="1" w:styleId="BodySmallRight">
    <w:name w:val="Body Small Right"/>
    <w:basedOn w:val="BodyTextRight"/>
    <w:rsid w:val="00BC2E78"/>
    <w:rPr>
      <w:sz w:val="18"/>
      <w:szCs w:val="18"/>
    </w:rPr>
  </w:style>
  <w:style w:type="paragraph" w:customStyle="1" w:styleId="MarginEdition">
    <w:name w:val="Margin Edition"/>
    <w:basedOn w:val="MarginNote"/>
    <w:rsid w:val="00BC2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E78"/>
    <w:rPr>
      <w:sz w:val="2"/>
      <w:szCs w:val="2"/>
    </w:rPr>
  </w:style>
  <w:style w:type="character" w:customStyle="1" w:styleId="Small">
    <w:name w:val="Small"/>
    <w:basedOn w:val="DefaultParagraphFont"/>
    <w:rsid w:val="00BC2E78"/>
    <w:rPr>
      <w:sz w:val="16"/>
    </w:rPr>
  </w:style>
  <w:style w:type="paragraph" w:customStyle="1" w:styleId="WideTable">
    <w:name w:val="Wide Table"/>
    <w:basedOn w:val="Normal"/>
    <w:rsid w:val="00BC2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E78"/>
  </w:style>
  <w:style w:type="paragraph" w:styleId="Quote">
    <w:name w:val="Quote"/>
    <w:basedOn w:val="Heading1"/>
    <w:link w:val="QuoteChar"/>
    <w:qFormat/>
    <w:rsid w:val="00BC2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E78"/>
    <w:pPr>
      <w:pageBreakBefore/>
    </w:pPr>
  </w:style>
  <w:style w:type="paragraph" w:customStyle="1" w:styleId="Border">
    <w:name w:val="Border"/>
    <w:basedOn w:val="Normal"/>
    <w:qFormat/>
    <w:rsid w:val="00BC2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E78"/>
    <w:rPr>
      <w:u w:val="single"/>
    </w:rPr>
  </w:style>
  <w:style w:type="character" w:customStyle="1" w:styleId="BoldandItalics">
    <w:name w:val="Bold and Italics"/>
    <w:qFormat/>
    <w:rsid w:val="00BC2E78"/>
    <w:rPr>
      <w:b/>
      <w:i/>
      <w:u w:val="none"/>
    </w:rPr>
  </w:style>
  <w:style w:type="paragraph" w:styleId="BalloonText">
    <w:name w:val="Balloon Text"/>
    <w:basedOn w:val="Normal"/>
    <w:link w:val="BalloonTextChar"/>
    <w:rsid w:val="00BC2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E78"/>
    <w:pPr>
      <w:spacing w:before="0" w:after="0"/>
    </w:pPr>
  </w:style>
  <w:style w:type="paragraph" w:customStyle="1" w:styleId="BodyTextBold">
    <w:name w:val="Body Text Bold"/>
    <w:basedOn w:val="BodyText"/>
    <w:qFormat/>
    <w:rsid w:val="00BC2E78"/>
    <w:rPr>
      <w:b/>
    </w:rPr>
  </w:style>
  <w:style w:type="character" w:styleId="Hyperlink">
    <w:name w:val="Hyperlink"/>
    <w:basedOn w:val="DefaultParagraphFont"/>
    <w:uiPriority w:val="99"/>
    <w:unhideWhenUsed/>
    <w:rsid w:val="009E2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4712</Characters>
  <Application>Microsoft Office Word</Application>
  <DocSecurity>0</DocSecurity>
  <Lines>138</Lines>
  <Paragraphs>68</Paragraphs>
  <ScaleCrop>false</ScaleCrop>
  <Company>Author-it Software Corporation Ltd.</Company>
  <LinksUpToDate>false</LinksUpToDate>
  <CharactersWithSpaces>5359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HLTOUT007 Transport non-emergency patients under operational conditions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