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715" w:rsidP="006A3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HLTOUT006 Transport emergency patients</w:t>
      </w:r>
      <w:r>
        <w:fldChar w:fldCharType="end"/>
      </w:r>
    </w:p>
    <w:p w:rsidR="006A3715" w:rsidP="006A3715">
      <w:pPr>
        <w:pStyle w:val="Version"/>
        <w:sectPr w:rsidSect="001B6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6B67" w:rsidP="001B6B67">
      <w:pPr>
        <w:pStyle w:val="SuperHeading"/>
      </w:pPr>
      <w:r w:rsidRPr="001B6B67">
        <w:t>HLTOUT006 Transport emergency patients</w:t>
      </w:r>
    </w:p>
    <w:p w:rsidR="00000000" w:rsidRPr="001B6B67" w:rsidP="001B6B67">
      <w:pPr>
        <w:pStyle w:val="Heading1"/>
      </w:pPr>
      <w:bookmarkStart w:id="1" w:name="O_1165575"/>
      <w:bookmarkEnd w:id="1"/>
      <w:r w:rsidRPr="001B6B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1B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Comments</w:t>
            </w:r>
          </w:p>
        </w:tc>
      </w:tr>
      <w:tr w:rsidTr="001B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t>Release 2. HLTOUT006 Transport emergency patients supersedes and is equivalent to Release 1. HLTOUT006 Transport emergency patients.</w:t>
            </w:r>
          </w:p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Minor changes. Mapping Info Table Notes added for superseded unit HLTAMB0</w:t>
            </w:r>
            <w:r w:rsidRPr="001B6B67">
              <w:t>03 Transport emergency patients.</w:t>
            </w:r>
          </w:p>
        </w:tc>
      </w:tr>
      <w:tr w:rsidTr="001B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t>Release 1. HLTOUT006 Transport emergency patients supersedes and is not equivalent to HLTAMB003 Transport emergency patients.</w:t>
            </w:r>
          </w:p>
        </w:tc>
      </w:tr>
    </w:tbl>
    <w:p w:rsidR="00000000" w:rsidRPr="001B6B67" w:rsidP="001B6B67">
      <w:pPr>
        <w:pStyle w:val="BodyText"/>
      </w:pPr>
    </w:p>
    <w:p w:rsidR="00000000" w:rsidRPr="001B6B67" w:rsidP="001B6B67">
      <w:pPr>
        <w:pStyle w:val="AllowPageBreak"/>
      </w:pPr>
    </w:p>
    <w:p w:rsidR="00000000" w:rsidRPr="001B6B67" w:rsidP="001B6B67">
      <w:pPr>
        <w:pStyle w:val="Heading1"/>
      </w:pPr>
      <w:bookmarkStart w:id="2" w:name="O_1165574"/>
      <w:bookmarkEnd w:id="2"/>
      <w:r w:rsidRPr="001B6B67">
        <w:t>Application</w:t>
      </w:r>
    </w:p>
    <w:p w:rsidR="00000000" w:rsidRPr="001B6B67" w:rsidP="006A3715">
      <w:pPr>
        <w:pStyle w:val="BodyText"/>
      </w:pPr>
      <w:r w:rsidRPr="001B6B67">
        <w:t>This unit describes the skills and knowledge required to transport vehicle occupants to and from a health care facility or service under emergency circumstances. This includes patients, crew, emergency service and other workers, relatives and assistance an</w:t>
      </w:r>
      <w:r w:rsidRPr="001B6B67">
        <w:t>imals. The unit includes skills for loading, driving and unloading a vehicle safely, and for checking vehicles and equipment in order to restock and remedy faults.</w:t>
      </w:r>
    </w:p>
    <w:p w:rsidR="00000000" w:rsidRPr="001B6B67" w:rsidP="006A3715">
      <w:pPr>
        <w:pStyle w:val="BodyText"/>
      </w:pPr>
      <w:r w:rsidRPr="001B6B67">
        <w:t>This unit applies to pre-hospital and out-of-hospital health care workers.</w:t>
      </w:r>
    </w:p>
    <w:p w:rsidR="00000000" w:rsidRPr="006A3715" w:rsidP="006A3715">
      <w:pPr>
        <w:pStyle w:val="BodyText"/>
        <w:rPr>
          <w:i/>
        </w:rPr>
      </w:pPr>
      <w:r w:rsidRPr="006A3715">
        <w:rPr>
          <w:rStyle w:val="Emphasis"/>
        </w:rPr>
        <w:t>The skills in thi</w:t>
      </w:r>
      <w:r w:rsidRPr="006A3715">
        <w:rPr>
          <w:rStyle w:val="Emphasis"/>
        </w:rPr>
        <w:t>s unit must be applied in accordance with Commonwealth and State or Territory legislation, Australian Standards and industry codes of practice.</w:t>
      </w:r>
    </w:p>
    <w:p w:rsidR="00000000" w:rsidRPr="001B6B67" w:rsidP="001B6B67">
      <w:pPr>
        <w:pStyle w:val="Heading1"/>
      </w:pPr>
      <w:bookmarkStart w:id="3" w:name="O_1165573"/>
      <w:bookmarkEnd w:id="3"/>
      <w:r w:rsidRPr="001B6B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5601"/>
      </w:tblGrid>
      <w:tr w:rsidTr="006A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rPr>
                <w:rStyle w:val="SpecialBold"/>
              </w:rPr>
              <w:t>ELEMENT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rPr>
                <w:rStyle w:val="SpecialBold"/>
              </w:rPr>
              <w:t>PERFORMANCE CRITERIA</w:t>
            </w:r>
          </w:p>
        </w:tc>
      </w:tr>
      <w:tr w:rsidTr="006A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Elements define the essential</w:t>
            </w:r>
            <w:r w:rsidRPr="001B6B67">
              <w:t xml:space="preserve"> outcomes.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Performance criteria describe the performance needed to demonstrate achievement of the element.</w:t>
            </w:r>
          </w:p>
        </w:tc>
      </w:tr>
      <w:tr w:rsidTr="006A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1. Prepare and check vehicle and equipment.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List"/>
            </w:pPr>
            <w:r w:rsidRPr="001B6B67">
              <w:t>1.1. Check vehicle and equipment systematically and comprehensively based on local vehicle checklist or inventory.</w:t>
            </w:r>
          </w:p>
          <w:p w:rsidR="00000000" w:rsidRPr="001B6B67" w:rsidP="001B6B67">
            <w:pPr>
              <w:pStyle w:val="List"/>
            </w:pPr>
            <w:r w:rsidRPr="001B6B67">
              <w:t>1.2. Conduct vehicle checks on a regular basis according to organisational policies and procedures to ensure continuing serviceability of veh</w:t>
            </w:r>
            <w:r w:rsidRPr="001B6B67">
              <w:t>icle and equipment.</w:t>
            </w:r>
          </w:p>
          <w:p w:rsidR="00000000" w:rsidRPr="001B6B67" w:rsidP="001B6B67">
            <w:pPr>
              <w:pStyle w:val="List"/>
            </w:pPr>
            <w:r w:rsidRPr="001B6B67">
              <w:t>1.3. Ensure interior and exterior cleanliness of vehicle in accordance with organisational policies and procedures for minimisation of infection risk to vehicle occupants.</w:t>
            </w:r>
          </w:p>
          <w:p w:rsidR="00000000" w:rsidRPr="001B6B67" w:rsidP="001B6B67">
            <w:pPr>
              <w:pStyle w:val="List"/>
            </w:pPr>
            <w:r w:rsidRPr="001B6B67">
              <w:t xml:space="preserve">1.4. Maintain vehicle operating stock to organisational minimum </w:t>
            </w:r>
            <w:r w:rsidRPr="001B6B67">
              <w:t>and maximum levels.</w:t>
            </w:r>
          </w:p>
          <w:p w:rsidR="00000000" w:rsidP="001B6B67">
            <w:pPr>
              <w:pStyle w:val="List"/>
              <w:rPr>
                <w:lang w:val="en-NZ"/>
              </w:rPr>
            </w:pPr>
            <w:r w:rsidRPr="001B6B67">
              <w:t>1.5. Maintain vehicle and equipment according to established clinical guidelines and protocols.</w:t>
            </w:r>
          </w:p>
        </w:tc>
      </w:tr>
      <w:tr w:rsidTr="006A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2. Ensure faults in vehicle and equipment are remedied.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List"/>
            </w:pPr>
            <w:r w:rsidRPr="001B6B67">
              <w:t>2.1. Identify and report general nature of faults in accordance with organisational</w:t>
            </w:r>
            <w:r w:rsidRPr="001B6B67">
              <w:t xml:space="preserve"> policies and procedures.</w:t>
            </w:r>
          </w:p>
          <w:p w:rsidR="00000000" w:rsidRPr="001B6B67" w:rsidP="001B6B67">
            <w:pPr>
              <w:pStyle w:val="List"/>
            </w:pPr>
            <w:r w:rsidRPr="001B6B67">
              <w:t>2.2. Assess risk of all faults, malfunctioning vehicle or equipment against patient care priorities and notify personnel in accordance with organisational policies and procedures.</w:t>
            </w:r>
          </w:p>
          <w:p w:rsidR="00000000" w:rsidP="001B6B67">
            <w:pPr>
              <w:pStyle w:val="List"/>
              <w:rPr>
                <w:lang w:val="en-NZ"/>
              </w:rPr>
            </w:pPr>
            <w:r w:rsidRPr="001B6B67">
              <w:t xml:space="preserve">2.3. Establish need for additional or replacement </w:t>
            </w:r>
            <w:r w:rsidRPr="001B6B67">
              <w:t>resources and communicate to other workers.</w:t>
            </w:r>
          </w:p>
        </w:tc>
      </w:tr>
      <w:tr w:rsidTr="006A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3. Convey and receive information relating to emergency transport.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List"/>
            </w:pPr>
            <w:r w:rsidRPr="001B6B67">
              <w:t>3.1. Establish and maintain communication with control centre according to established clinical guidelines and protocols.</w:t>
            </w:r>
          </w:p>
          <w:p w:rsidR="00000000" w:rsidP="001B6B67">
            <w:pPr>
              <w:pStyle w:val="List"/>
              <w:rPr>
                <w:lang w:val="en-NZ"/>
              </w:rPr>
            </w:pPr>
            <w:r w:rsidRPr="001B6B67">
              <w:t xml:space="preserve">3.2. Notify receiving </w:t>
            </w:r>
            <w:r w:rsidRPr="001B6B67">
              <w:t>facility according to established clinical guidelines and protocols.</w:t>
            </w:r>
          </w:p>
        </w:tc>
      </w:tr>
      <w:tr w:rsidTr="006A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4. Load, unload and secure occupants and equipment for emergency transportation.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List"/>
            </w:pPr>
            <w:r w:rsidRPr="001B6B67">
              <w:t>4.1. Remove patients from scene in a manner consistent with established clinical guidelines and protocols.</w:t>
            </w:r>
          </w:p>
          <w:p w:rsidR="00000000" w:rsidRPr="001B6B67" w:rsidP="001B6B67">
            <w:pPr>
              <w:pStyle w:val="List"/>
            </w:pPr>
            <w:r w:rsidRPr="001B6B67">
              <w:t xml:space="preserve">4.2. Load and unload patients smoothly, consistent with safe work practices and according to established clinical guidelines and protocols. </w:t>
            </w:r>
          </w:p>
          <w:p w:rsidR="00000000" w:rsidRPr="001B6B67" w:rsidP="001B6B67">
            <w:pPr>
              <w:pStyle w:val="List"/>
            </w:pPr>
            <w:r w:rsidRPr="001B6B67">
              <w:t>4.3. Ens</w:t>
            </w:r>
            <w:r w:rsidRPr="001B6B67">
              <w:t>ure patient illness or injury is not exacerbated by unnecessary movement during loading and unloading of patient.</w:t>
            </w:r>
          </w:p>
          <w:p w:rsidR="00000000" w:rsidRPr="001B6B67" w:rsidP="001B6B67">
            <w:pPr>
              <w:pStyle w:val="List"/>
            </w:pPr>
            <w:r w:rsidRPr="001B6B67">
              <w:t>4.4. Ensure vehicle occupants are secured in vehicle according to organisational policies and procedures.</w:t>
            </w:r>
          </w:p>
          <w:p w:rsidR="00000000" w:rsidP="001B6B67">
            <w:pPr>
              <w:pStyle w:val="List"/>
              <w:rPr>
                <w:lang w:val="en-NZ"/>
              </w:rPr>
            </w:pPr>
            <w:r w:rsidRPr="001B6B67">
              <w:t>4.5. Organise and secure equipment i</w:t>
            </w:r>
            <w:r w:rsidRPr="001B6B67">
              <w:t>n accordance with established clinical guidelines and protocols.</w:t>
            </w:r>
          </w:p>
        </w:tc>
      </w:tr>
      <w:tr w:rsidTr="006A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5. Transport patient under emergency conditions.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List"/>
            </w:pPr>
            <w:r w:rsidRPr="001B6B67">
              <w:t xml:space="preserve">5.1. Establish and maintain communication as required between driver and patient care officer to ensure safe transport and effective patient </w:t>
            </w:r>
            <w:r w:rsidRPr="001B6B67">
              <w:t>care.</w:t>
            </w:r>
          </w:p>
          <w:p w:rsidR="00000000" w:rsidRPr="001B6B67" w:rsidP="001B6B67">
            <w:pPr>
              <w:pStyle w:val="List"/>
            </w:pPr>
            <w:r w:rsidRPr="001B6B67">
              <w:t>5.2. Drive vehicle to current road conditions and in a manner that avoids exacerbation of patient condition.</w:t>
            </w:r>
          </w:p>
          <w:p w:rsidR="00000000" w:rsidRPr="001B6B67" w:rsidP="001B6B67">
            <w:pPr>
              <w:pStyle w:val="List"/>
            </w:pPr>
            <w:r w:rsidRPr="001B6B67">
              <w:t>5.3. Recognise and negotiate hazards at low risk in accordance with road traffic Acts and legal requirements governing emergency vehicles.</w:t>
            </w:r>
          </w:p>
          <w:p w:rsidR="00000000" w:rsidRPr="001B6B67" w:rsidP="001B6B67">
            <w:pPr>
              <w:pStyle w:val="List"/>
            </w:pPr>
            <w:r w:rsidRPr="001B6B67">
              <w:t>5.</w:t>
            </w:r>
            <w:r w:rsidRPr="001B6B67">
              <w:t>4. Notify vehicle occupants of upcoming hazards to facilitate preparation and management of situation for safety of patient and self.</w:t>
            </w:r>
          </w:p>
          <w:p w:rsidR="00000000" w:rsidRPr="001B6B67" w:rsidP="001B6B67">
            <w:pPr>
              <w:pStyle w:val="List"/>
            </w:pPr>
            <w:r w:rsidRPr="001B6B67">
              <w:t xml:space="preserve">5.5. Utilise maps and Global Positioning Systems (GPS) </w:t>
            </w:r>
            <w:r w:rsidRPr="001B6B67">
              <w:t>as required to navigate to a specified destination.</w:t>
            </w:r>
          </w:p>
          <w:p w:rsidR="00000000" w:rsidRPr="001B6B67" w:rsidP="001B6B67">
            <w:pPr>
              <w:pStyle w:val="List"/>
            </w:pPr>
            <w:r w:rsidRPr="001B6B67">
              <w:t>5.6. Choose rou</w:t>
            </w:r>
            <w:r w:rsidRPr="001B6B67">
              <w:t>te to receiving facility according to distance, time, travel and terrain and monitor factors likely to cause delays or route deviations.</w:t>
            </w:r>
          </w:p>
        </w:tc>
      </w:tr>
    </w:tbl>
    <w:p w:rsidR="00000000" w:rsidRPr="001B6B67" w:rsidP="001B6B67">
      <w:pPr>
        <w:pStyle w:val="BodyText"/>
      </w:pPr>
    </w:p>
    <w:p w:rsidR="00000000" w:rsidRPr="001B6B67" w:rsidP="001B6B67">
      <w:pPr>
        <w:pStyle w:val="AllowPageBreak"/>
      </w:pPr>
    </w:p>
    <w:p w:rsidR="00000000" w:rsidRPr="001B6B67" w:rsidP="001B6B67">
      <w:pPr>
        <w:pStyle w:val="Heading1"/>
      </w:pPr>
      <w:bookmarkStart w:id="4" w:name="O_1165572"/>
      <w:bookmarkEnd w:id="4"/>
      <w:r w:rsidRPr="001B6B6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A3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rPr>
                <w:rStyle w:val="Emphasis"/>
              </w:rPr>
              <w:t>Foundation skills essential to performance are explicit in the performance crite</w:t>
            </w:r>
            <w:r w:rsidRPr="001B6B67">
              <w:rPr>
                <w:rStyle w:val="Emphasis"/>
              </w:rPr>
              <w:t>ria of this unit of competency.</w:t>
            </w:r>
          </w:p>
        </w:tc>
      </w:tr>
    </w:tbl>
    <w:p w:rsidR="00000000" w:rsidRPr="001B6B67" w:rsidP="001B6B67">
      <w:pPr>
        <w:pStyle w:val="BodyText"/>
      </w:pPr>
    </w:p>
    <w:p w:rsidR="00000000" w:rsidRPr="001B6B67" w:rsidP="001B6B67">
      <w:pPr>
        <w:pStyle w:val="AllowPageBreak"/>
      </w:pPr>
    </w:p>
    <w:p w:rsidR="00000000" w:rsidRPr="001B6B67" w:rsidP="001B6B67">
      <w:pPr>
        <w:pStyle w:val="Heading1"/>
      </w:pPr>
      <w:bookmarkStart w:id="5" w:name="O_1165571"/>
      <w:bookmarkEnd w:id="5"/>
      <w:r w:rsidRPr="001B6B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1B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Comments</w:t>
            </w:r>
          </w:p>
        </w:tc>
      </w:tr>
      <w:tr w:rsidTr="001B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t>Release 2. HLTOUT006 Transport emergency patients supersedes and is equivalent to Release 1. HLTOUT006 Transport emergency patients.</w:t>
            </w:r>
          </w:p>
          <w:p w:rsidR="00000000" w:rsidP="001B6B67">
            <w:pPr>
              <w:pStyle w:val="BodyText"/>
              <w:rPr>
                <w:lang w:val="en-NZ"/>
              </w:rPr>
            </w:pPr>
            <w:r w:rsidRPr="001B6B67">
              <w:t>Minor changes. Mapping Info Table Notes added for superseded unit HLTAMB003 Transport emergency patients.</w:t>
            </w:r>
          </w:p>
        </w:tc>
      </w:tr>
      <w:tr w:rsidTr="001B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B67" w:rsidP="001B6B67">
            <w:pPr>
              <w:pStyle w:val="BodyText"/>
            </w:pPr>
            <w:r w:rsidRPr="001B6B67">
              <w:t>Release 1. HLTOUT006 Transport emergency patients supersedes and is not equivalent to HLTAMB003 Transport emergency patients.</w:t>
            </w:r>
          </w:p>
        </w:tc>
      </w:tr>
    </w:tbl>
    <w:p w:rsidR="00000000" w:rsidRPr="001B6B67" w:rsidP="001B6B67">
      <w:pPr>
        <w:pStyle w:val="BodyText"/>
      </w:pPr>
    </w:p>
    <w:p w:rsidR="00000000" w:rsidRPr="001B6B67" w:rsidP="001B6B67">
      <w:pPr>
        <w:pStyle w:val="AllowPageBreak"/>
      </w:pPr>
    </w:p>
    <w:p w:rsidR="00000000" w:rsidRPr="001B6B67" w:rsidP="001B6B67">
      <w:pPr>
        <w:pStyle w:val="Heading1"/>
      </w:pPr>
      <w:bookmarkStart w:id="6" w:name="O_1165576"/>
      <w:bookmarkEnd w:id="6"/>
      <w:r w:rsidRPr="001B6B67">
        <w:t>Links</w:t>
      </w:r>
    </w:p>
    <w:p w:rsidR="00000000" w:rsidRPr="001B6B67" w:rsidP="006A3715">
      <w:pPr>
        <w:pStyle w:val="BodyText"/>
      </w:pPr>
      <w:r w:rsidRPr="001B6B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C60D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B6B67" w:rsidP="001B6B67"/>
    <w:sectPr w:rsidSect="001B6B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67" w:rsidRPr="006A3715" w:rsidP="006A3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15" w:rsidP="001B6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715" w:rsidP="001B6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3715" w:rsidP="001B6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B67" w:rsidRPr="006A3715" w:rsidP="006A3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15" w:rsidRPr="002D2AF8" w:rsidP="001B6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HLTOUT006 Transport emergency patients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A3715" w:rsidP="001B6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B67"/>
  </w:style>
  <w:style w:type="character" w:customStyle="1" w:styleId="Heading1Char">
    <w:name w:val="Heading 1 Char"/>
    <w:basedOn w:val="DefaultParagraphFont"/>
    <w:link w:val="Heading1"/>
    <w:rsid w:val="001B6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B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6B6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B6B67"/>
    <w:rPr>
      <w:b/>
      <w:spacing w:val="0"/>
    </w:rPr>
  </w:style>
  <w:style w:type="character" w:styleId="Emphasis">
    <w:name w:val="Emphasis"/>
    <w:basedOn w:val="DefaultParagraphFont"/>
    <w:qFormat/>
    <w:rsid w:val="001B6B67"/>
    <w:rPr>
      <w:i/>
    </w:rPr>
  </w:style>
  <w:style w:type="paragraph" w:customStyle="1" w:styleId="SuperHeading">
    <w:name w:val="SuperHeading"/>
    <w:basedOn w:val="Normal"/>
    <w:rsid w:val="001B6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B6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B6B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6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B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B67"/>
  </w:style>
  <w:style w:type="paragraph" w:styleId="TableofFigures">
    <w:name w:val="table of figures"/>
    <w:basedOn w:val="Normal"/>
    <w:next w:val="Normal"/>
    <w:semiHidden/>
    <w:rsid w:val="001B6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B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6B67"/>
    <w:rPr>
      <w:rFonts w:ascii="Wingdings" w:hAnsi="Wingdings"/>
    </w:rPr>
  </w:style>
  <w:style w:type="paragraph" w:customStyle="1" w:styleId="TableHeading">
    <w:name w:val="Table Heading"/>
    <w:basedOn w:val="HeadingBase"/>
    <w:rsid w:val="001B6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B67"/>
    <w:rPr>
      <w:color w:val="0033CC"/>
      <w:u w:val="none"/>
    </w:rPr>
  </w:style>
  <w:style w:type="paragraph" w:customStyle="1" w:styleId="BodyTextRight">
    <w:name w:val="Body Text Right"/>
    <w:basedOn w:val="BodyText"/>
    <w:rsid w:val="001B6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B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B67"/>
    <w:rPr>
      <w:sz w:val="32"/>
    </w:rPr>
  </w:style>
  <w:style w:type="paragraph" w:customStyle="1" w:styleId="HeadingProcedure">
    <w:name w:val="Heading Procedure"/>
    <w:basedOn w:val="HeadingBase"/>
    <w:next w:val="Normal"/>
    <w:rsid w:val="001B6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B67"/>
    <w:pPr>
      <w:spacing w:before="60" w:after="60"/>
    </w:pPr>
  </w:style>
  <w:style w:type="paragraph" w:styleId="ListContinue">
    <w:name w:val="List Continue"/>
    <w:basedOn w:val="List"/>
    <w:rsid w:val="001B6B67"/>
    <w:pPr>
      <w:ind w:firstLine="0"/>
    </w:pPr>
  </w:style>
  <w:style w:type="paragraph" w:customStyle="1" w:styleId="ListNote">
    <w:name w:val="List Note"/>
    <w:basedOn w:val="List"/>
    <w:rsid w:val="001B6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B67"/>
    <w:rPr>
      <w:rFonts w:ascii="Courier New" w:hAnsi="Courier New"/>
    </w:rPr>
  </w:style>
  <w:style w:type="paragraph" w:customStyle="1" w:styleId="NoteBullet">
    <w:name w:val="Note Bullet"/>
    <w:basedOn w:val="Note"/>
    <w:rsid w:val="001B6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B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6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B67"/>
    <w:rPr>
      <w:b/>
      <w:smallCaps/>
    </w:rPr>
  </w:style>
  <w:style w:type="paragraph" w:customStyle="1" w:styleId="TableListNumber">
    <w:name w:val="Table List Number"/>
    <w:basedOn w:val="ListNumber"/>
    <w:rsid w:val="001B6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B67"/>
    <w:pPr>
      <w:numPr>
        <w:numId w:val="7"/>
      </w:numPr>
    </w:pPr>
  </w:style>
  <w:style w:type="paragraph" w:customStyle="1" w:styleId="ListAlpha2">
    <w:name w:val="List Alpha 2"/>
    <w:basedOn w:val="List2"/>
    <w:rsid w:val="001B6B67"/>
    <w:pPr>
      <w:numPr>
        <w:numId w:val="6"/>
      </w:numPr>
    </w:pPr>
  </w:style>
  <w:style w:type="paragraph" w:styleId="List2">
    <w:name w:val="List 2"/>
    <w:basedOn w:val="BodyText"/>
    <w:rsid w:val="001B6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B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B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6B67"/>
    <w:pPr>
      <w:numPr>
        <w:numId w:val="2"/>
      </w:numPr>
    </w:pPr>
  </w:style>
  <w:style w:type="paragraph" w:styleId="ListContinue2">
    <w:name w:val="List Continue 2"/>
    <w:basedOn w:val="List2"/>
    <w:rsid w:val="001B6B67"/>
    <w:pPr>
      <w:ind w:firstLine="0"/>
    </w:pPr>
  </w:style>
  <w:style w:type="paragraph" w:styleId="ListContinue3">
    <w:name w:val="List Continue 3"/>
    <w:basedOn w:val="List3"/>
    <w:rsid w:val="001B6B67"/>
    <w:pPr>
      <w:ind w:left="1021" w:firstLine="0"/>
    </w:pPr>
  </w:style>
  <w:style w:type="paragraph" w:styleId="ListContinue4">
    <w:name w:val="List Continue 4"/>
    <w:basedOn w:val="List4"/>
    <w:rsid w:val="001B6B67"/>
    <w:pPr>
      <w:ind w:firstLine="0"/>
    </w:pPr>
  </w:style>
  <w:style w:type="paragraph" w:styleId="ListContinue5">
    <w:name w:val="List Continue 5"/>
    <w:basedOn w:val="List5"/>
    <w:rsid w:val="001B6B67"/>
    <w:pPr>
      <w:ind w:firstLine="0"/>
    </w:pPr>
  </w:style>
  <w:style w:type="paragraph" w:styleId="ListNumber3">
    <w:name w:val="List Number 3"/>
    <w:basedOn w:val="List3"/>
    <w:rsid w:val="001B6B67"/>
    <w:pPr>
      <w:numPr>
        <w:numId w:val="3"/>
      </w:numPr>
    </w:pPr>
  </w:style>
  <w:style w:type="paragraph" w:styleId="ListNumber4">
    <w:name w:val="List Number 4"/>
    <w:basedOn w:val="List4"/>
    <w:rsid w:val="001B6B67"/>
    <w:pPr>
      <w:numPr>
        <w:numId w:val="4"/>
      </w:numPr>
    </w:pPr>
  </w:style>
  <w:style w:type="paragraph" w:styleId="ListNumber5">
    <w:name w:val="List Number 5"/>
    <w:basedOn w:val="List5"/>
    <w:rsid w:val="001B6B67"/>
    <w:pPr>
      <w:numPr>
        <w:numId w:val="5"/>
      </w:numPr>
    </w:pPr>
  </w:style>
  <w:style w:type="paragraph" w:styleId="BlockText">
    <w:name w:val="Block Text"/>
    <w:basedOn w:val="Normal"/>
    <w:rsid w:val="001B6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B67"/>
    <w:rPr>
      <w:sz w:val="16"/>
      <w:vertAlign w:val="superscript"/>
    </w:rPr>
  </w:style>
  <w:style w:type="character" w:customStyle="1" w:styleId="Symbols">
    <w:name w:val="Symbols"/>
    <w:basedOn w:val="DefaultParagraphFont"/>
    <w:rsid w:val="001B6B67"/>
    <w:rPr>
      <w:rFonts w:ascii="Symbol" w:hAnsi="Symbol"/>
    </w:rPr>
  </w:style>
  <w:style w:type="character" w:customStyle="1" w:styleId="MenuOptions">
    <w:name w:val="Menu Options"/>
    <w:basedOn w:val="DefaultParagraphFont"/>
    <w:rsid w:val="001B6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B67"/>
    <w:rPr>
      <w:b/>
    </w:rPr>
  </w:style>
  <w:style w:type="character" w:customStyle="1" w:styleId="Underlined">
    <w:name w:val="Underlined"/>
    <w:basedOn w:val="DefaultParagraphFont"/>
    <w:rsid w:val="001B6B67"/>
    <w:rPr>
      <w:u w:val="single"/>
    </w:rPr>
  </w:style>
  <w:style w:type="paragraph" w:customStyle="1" w:styleId="TableBodyTextRight">
    <w:name w:val="Table Body Text Right"/>
    <w:basedOn w:val="TableBodyText"/>
    <w:rsid w:val="001B6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B67"/>
    <w:rPr>
      <w:sz w:val="18"/>
    </w:rPr>
  </w:style>
  <w:style w:type="paragraph" w:customStyle="1" w:styleId="BodySmallRight">
    <w:name w:val="Body Small Right"/>
    <w:basedOn w:val="BodyTextRight"/>
    <w:rsid w:val="001B6B67"/>
    <w:rPr>
      <w:sz w:val="18"/>
      <w:szCs w:val="18"/>
    </w:rPr>
  </w:style>
  <w:style w:type="paragraph" w:customStyle="1" w:styleId="MarginEdition">
    <w:name w:val="Margin Edition"/>
    <w:basedOn w:val="MarginNote"/>
    <w:rsid w:val="001B6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B67"/>
    <w:rPr>
      <w:sz w:val="2"/>
      <w:szCs w:val="2"/>
    </w:rPr>
  </w:style>
  <w:style w:type="character" w:customStyle="1" w:styleId="Small">
    <w:name w:val="Small"/>
    <w:basedOn w:val="DefaultParagraphFont"/>
    <w:rsid w:val="001B6B67"/>
    <w:rPr>
      <w:sz w:val="16"/>
    </w:rPr>
  </w:style>
  <w:style w:type="paragraph" w:customStyle="1" w:styleId="WideTable">
    <w:name w:val="Wide Table"/>
    <w:basedOn w:val="Normal"/>
    <w:rsid w:val="001B6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B67"/>
  </w:style>
  <w:style w:type="paragraph" w:styleId="Quote">
    <w:name w:val="Quote"/>
    <w:basedOn w:val="Heading1"/>
    <w:link w:val="QuoteChar"/>
    <w:qFormat/>
    <w:rsid w:val="001B6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B67"/>
    <w:pPr>
      <w:pageBreakBefore/>
    </w:pPr>
  </w:style>
  <w:style w:type="paragraph" w:customStyle="1" w:styleId="Border">
    <w:name w:val="Border"/>
    <w:basedOn w:val="Normal"/>
    <w:qFormat/>
    <w:rsid w:val="001B6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B67"/>
    <w:rPr>
      <w:u w:val="single"/>
    </w:rPr>
  </w:style>
  <w:style w:type="character" w:customStyle="1" w:styleId="BoldandItalics">
    <w:name w:val="Bold and Italics"/>
    <w:qFormat/>
    <w:rsid w:val="001B6B67"/>
    <w:rPr>
      <w:b/>
      <w:i/>
      <w:u w:val="none"/>
    </w:rPr>
  </w:style>
  <w:style w:type="paragraph" w:styleId="BalloonText">
    <w:name w:val="Balloon Text"/>
    <w:basedOn w:val="Normal"/>
    <w:link w:val="BalloonTextChar"/>
    <w:rsid w:val="001B6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B67"/>
    <w:pPr>
      <w:spacing w:before="0" w:after="0"/>
    </w:pPr>
  </w:style>
  <w:style w:type="paragraph" w:customStyle="1" w:styleId="BodyTextBold">
    <w:name w:val="Body Text Bold"/>
    <w:basedOn w:val="BodyText"/>
    <w:qFormat/>
    <w:rsid w:val="001B6B67"/>
    <w:rPr>
      <w:b/>
    </w:rPr>
  </w:style>
  <w:style w:type="character" w:styleId="Hyperlink">
    <w:name w:val="Hyperlink"/>
    <w:basedOn w:val="DefaultParagraphFont"/>
    <w:uiPriority w:val="99"/>
    <w:unhideWhenUsed/>
    <w:rsid w:val="006A3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4476</Characters>
  <Application>Microsoft Office Word</Application>
  <DocSecurity>0</DocSecurity>
  <Lines>135</Lines>
  <Paragraphs>68</Paragraphs>
  <ScaleCrop>false</ScaleCrop>
  <Company>Author-it Software Corporation Ltd.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HLTOUT006 Transport emergency patients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