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ADC" w:rsidP="00364AD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HLTOUT005 Assess and deliver standard clinical care</w:t>
      </w:r>
      <w:r>
        <w:fldChar w:fldCharType="end"/>
      </w:r>
    </w:p>
    <w:p w:rsidR="00364ADC" w:rsidP="00364ADC">
      <w:pPr>
        <w:pStyle w:val="Version"/>
        <w:sectPr w:rsidSect="00C81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1084" w:rsidP="00C81084">
      <w:pPr>
        <w:pStyle w:val="SuperHeading"/>
      </w:pPr>
      <w:r w:rsidRPr="00C81084">
        <w:t>HLTOUT005 Assess and deliver standard clinical care</w:t>
      </w:r>
    </w:p>
    <w:p w:rsidR="00000000" w:rsidRPr="00C81084" w:rsidP="00C81084">
      <w:pPr>
        <w:pStyle w:val="Heading1"/>
      </w:pPr>
      <w:bookmarkStart w:id="1" w:name="O_1165561"/>
      <w:bookmarkEnd w:id="1"/>
      <w:r w:rsidRPr="00C810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Comments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2. HLTOUT005 Assess and deliver standard clinical care supersedes and is equivalent to Release 1. HLTOUT005 Assess and deliver standard clinical care.</w:t>
            </w:r>
          </w:p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Minor changes. Mapping Info Table Note</w:t>
            </w:r>
            <w:r w:rsidRPr="00C81084">
              <w:t>s added for superseded unit HLTAMB008 Assess and deliver standard clinical care.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1. HLTOUT005 Assess and deliver standard clinical care supersedes and is not equivalent to HLTAMB008 Assess and deliver standard clinical care.</w:t>
            </w:r>
          </w:p>
        </w:tc>
      </w:tr>
    </w:tbl>
    <w:p w:rsidR="00000000" w:rsidRPr="00C81084" w:rsidP="00C81084">
      <w:pPr>
        <w:pStyle w:val="BodyText"/>
      </w:pPr>
    </w:p>
    <w:p w:rsidR="00000000" w:rsidRPr="00C81084" w:rsidP="00C81084">
      <w:pPr>
        <w:pStyle w:val="AllowPageBreak"/>
      </w:pPr>
    </w:p>
    <w:p w:rsidR="00000000" w:rsidRPr="00C81084" w:rsidP="00C81084">
      <w:pPr>
        <w:pStyle w:val="Heading1"/>
      </w:pPr>
      <w:bookmarkStart w:id="2" w:name="O_1165560"/>
      <w:bookmarkEnd w:id="2"/>
      <w:r w:rsidRPr="00C81084">
        <w:t>Application</w:t>
      </w:r>
    </w:p>
    <w:p w:rsidR="00000000" w:rsidRPr="00C81084" w:rsidP="00364ADC">
      <w:pPr>
        <w:pStyle w:val="BodyText"/>
      </w:pPr>
      <w:r w:rsidRPr="00C81084">
        <w:t xml:space="preserve">This unit of competency describes the skills and knowledge required to conduct clinical assessments and deliver standard patient care in the pre-hospital and out-of-hospital environment. </w:t>
      </w:r>
    </w:p>
    <w:p w:rsidR="00000000" w:rsidRPr="00C81084" w:rsidP="00364ADC">
      <w:pPr>
        <w:pStyle w:val="BodyText"/>
      </w:pPr>
      <w:r w:rsidRPr="00C81084">
        <w:t>This unit applies to out-of-hospital h</w:t>
      </w:r>
      <w:r w:rsidRPr="00C81084">
        <w:t>ealth care workers. The worker assists in advanced life support, prioritises clinical care, implements time-critical health care procedures and therapies, and monitors patients based on patient needs and in accordance with established clinical practice gui</w:t>
      </w:r>
      <w:r w:rsidRPr="00C81084">
        <w:t>delines and protocols.</w:t>
      </w:r>
    </w:p>
    <w:p w:rsidR="00000000" w:rsidRPr="00364ADC" w:rsidP="00364ADC">
      <w:pPr>
        <w:pStyle w:val="BodyText"/>
        <w:rPr>
          <w:i/>
        </w:rPr>
      </w:pPr>
      <w:r w:rsidRPr="00364ADC">
        <w:rPr>
          <w:rStyle w:val="Emphasis"/>
        </w:rPr>
        <w:t>The skills in this unit must be applied in accordance with Commonwealth and State or Territory legislation, Australian Standards and industry codes of practice.</w:t>
      </w:r>
    </w:p>
    <w:p w:rsidR="00000000" w:rsidRPr="00C81084" w:rsidP="00C81084">
      <w:pPr>
        <w:pStyle w:val="Heading1"/>
      </w:pPr>
      <w:bookmarkStart w:id="3" w:name="O_1165559"/>
      <w:bookmarkEnd w:id="3"/>
      <w:r w:rsidRPr="00C810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723"/>
      </w:tblGrid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rPr>
                <w:rStyle w:val="SpecialBold"/>
              </w:rPr>
              <w:t>ELEMENT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rPr>
                <w:rStyle w:val="SpecialBold"/>
              </w:rPr>
              <w:t>PERFORMANCE</w:t>
            </w:r>
            <w:r w:rsidRPr="00C81084">
              <w:rPr>
                <w:rStyle w:val="SpecialBold"/>
              </w:rPr>
              <w:t xml:space="preserve"> CRITERIA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Elements define the essential outcomes.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Performance criteria describe the performance needed to demonstrate achievement of the element.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1. Perform out-of-hospital patient assessment.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List"/>
            </w:pPr>
            <w:r w:rsidRPr="00C81084">
              <w:t>1.1. Conduct pre-planning of assessment before arrival at sce</w:t>
            </w:r>
            <w:r w:rsidRPr="00C81084">
              <w:t>ne based on information communicated in the request for service.</w:t>
            </w:r>
          </w:p>
          <w:p w:rsidR="00000000" w:rsidRPr="00C81084" w:rsidP="00C81084">
            <w:pPr>
              <w:pStyle w:val="List"/>
            </w:pPr>
            <w:r w:rsidRPr="00C81084">
              <w:t>1.2. Conduct scene survey according to established clinical guidelines and protocols.</w:t>
            </w:r>
          </w:p>
          <w:p w:rsidR="00000000" w:rsidRPr="00C81084" w:rsidP="00C81084">
            <w:pPr>
              <w:pStyle w:val="List"/>
            </w:pPr>
            <w:r w:rsidRPr="00C81084">
              <w:t>1.3. Perform systematic patient assessment to collect and analyse information.</w:t>
            </w:r>
          </w:p>
          <w:p w:rsidR="00000000" w:rsidRPr="00C81084" w:rsidP="00C81084">
            <w:pPr>
              <w:pStyle w:val="List"/>
            </w:pPr>
            <w:r w:rsidRPr="00C81084">
              <w:t>1.4. Use clinical knowledge to assess the mechanism and patterns for injury or illness to make an informed decision about the patient’s condition.</w:t>
            </w:r>
          </w:p>
          <w:p w:rsidR="00000000" w:rsidRPr="00C81084" w:rsidP="00C81084">
            <w:pPr>
              <w:pStyle w:val="List"/>
            </w:pPr>
            <w:r w:rsidRPr="00C81084">
              <w:t>1.5. Use principles of anatomy and physiology to identify variations from normal homeostasis.</w:t>
            </w:r>
          </w:p>
          <w:p w:rsidR="00000000" w:rsidRPr="00C81084" w:rsidP="00C81084">
            <w:pPr>
              <w:pStyle w:val="List"/>
            </w:pPr>
            <w:r w:rsidRPr="00C81084">
              <w:t>1.6. Differenti</w:t>
            </w:r>
            <w:r w:rsidRPr="00C81084">
              <w:t>ate between patients who require rapid stabilisation and transport because of trauma or illness, and those who require further on-the-scene assessment and management.</w:t>
            </w:r>
          </w:p>
          <w:p w:rsidR="00000000" w:rsidP="00C81084">
            <w:pPr>
              <w:pStyle w:val="List"/>
              <w:rPr>
                <w:lang w:val="en-NZ"/>
              </w:rPr>
            </w:pPr>
            <w:r w:rsidRPr="00C81084">
              <w:t>1.7. Use equipment correctly to support patient care being implemented.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2. Plan out-of-h</w:t>
            </w:r>
            <w:r w:rsidRPr="00C81084">
              <w:t>ospital patient care.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List"/>
            </w:pPr>
            <w:r w:rsidRPr="00C81084">
              <w:t>2.1. Determine time-critical issues given resource considerations.</w:t>
            </w:r>
          </w:p>
          <w:p w:rsidR="00000000" w:rsidRPr="00C81084" w:rsidP="00C81084">
            <w:pPr>
              <w:pStyle w:val="List"/>
            </w:pPr>
            <w:r w:rsidRPr="00C81084">
              <w:t>2.2. Assess transport requirements and appropriate destination, versus transport criticality, to ensure requirements of urgency and patient care are met.</w:t>
            </w:r>
          </w:p>
          <w:p w:rsidR="00000000" w:rsidRPr="00C81084" w:rsidP="00C81084">
            <w:pPr>
              <w:pStyle w:val="List"/>
            </w:pPr>
            <w:r w:rsidRPr="00C81084">
              <w:t>2.3. Assess t</w:t>
            </w:r>
            <w:r w:rsidRPr="00C81084">
              <w:t>he effects and any associated risks of proposed patient’s condition.</w:t>
            </w:r>
          </w:p>
          <w:p w:rsidR="00000000" w:rsidRPr="00C81084" w:rsidP="00C81084">
            <w:pPr>
              <w:pStyle w:val="List"/>
            </w:pPr>
            <w:r w:rsidRPr="00C81084">
              <w:t>2.4. Develop a patient management plan based on patient’s needs and assessment of scene.</w:t>
            </w:r>
          </w:p>
          <w:p w:rsidR="00000000" w:rsidP="00C81084">
            <w:pPr>
              <w:pStyle w:val="List"/>
              <w:rPr>
                <w:lang w:val="en-NZ"/>
              </w:rPr>
            </w:pPr>
            <w:r w:rsidRPr="00C81084">
              <w:t>2.5. Use available information to justify patient management plan.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3. Implement out-of-hospital p</w:t>
            </w:r>
            <w:r w:rsidRPr="00C81084">
              <w:t>atient care procedures.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List"/>
            </w:pPr>
            <w:r w:rsidRPr="00C81084">
              <w:t>3.1. Implement all care and treatment procedures within established scope of practice defined by organisational guidelines and protocols.</w:t>
            </w:r>
          </w:p>
          <w:p w:rsidR="00000000" w:rsidRPr="00C81084" w:rsidP="00C81084">
            <w:pPr>
              <w:pStyle w:val="List"/>
            </w:pPr>
            <w:r w:rsidRPr="00C81084">
              <w:t>3.2. Commence pharmacological therapies as determined by patient’s presenting condition, withi</w:t>
            </w:r>
            <w:r w:rsidRPr="00C81084">
              <w:t>n established scope of practice defined by organisational guidelines and protocols.</w:t>
            </w:r>
          </w:p>
          <w:p w:rsidR="00000000" w:rsidP="00C81084">
            <w:pPr>
              <w:pStyle w:val="List"/>
              <w:rPr>
                <w:lang w:val="en-NZ"/>
              </w:rPr>
            </w:pPr>
            <w:r w:rsidRPr="00C81084">
              <w:t>3.3. Identify need for assistance where the situation or patient’s condition requires treatment that is outside the scope of practice and seek clinical support immediately.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4. Monitor and evaluate out-of-hospital patient care.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List"/>
            </w:pPr>
            <w:r w:rsidRPr="00C81084">
              <w:t>4.1. Evaluate patient care interventions and pharmacological therapy, noting effectiveness of treatment regime and amend according to patient’</w:t>
            </w:r>
            <w:r w:rsidRPr="00C81084">
              <w:t>s condition in accordance with established clinical guidelines and protocols.</w:t>
            </w:r>
          </w:p>
          <w:p w:rsidR="00000000" w:rsidRPr="00C81084" w:rsidP="00C81084">
            <w:pPr>
              <w:pStyle w:val="List"/>
            </w:pPr>
            <w:r w:rsidRPr="00C81084">
              <w:t>4.2. Use equipment to monitor all aspects of patient’s condition at appropriate intervals.</w:t>
            </w:r>
          </w:p>
          <w:p w:rsidR="00000000" w:rsidRPr="00C81084" w:rsidP="00C81084">
            <w:pPr>
              <w:pStyle w:val="List"/>
            </w:pPr>
            <w:r w:rsidRPr="00C81084">
              <w:t xml:space="preserve">4.3. Record data regarding patient’s condition, noting any trends and their impacts on </w:t>
            </w:r>
            <w:r w:rsidRPr="00C81084">
              <w:t>patient condition.</w:t>
            </w:r>
          </w:p>
          <w:p w:rsidR="00000000" w:rsidRPr="00C81084" w:rsidP="00C81084">
            <w:pPr>
              <w:pStyle w:val="List"/>
            </w:pPr>
            <w:r w:rsidRPr="00C81084">
              <w:t>4.4. Identify signs of deterioration in patient’s condition.</w:t>
            </w:r>
          </w:p>
          <w:p w:rsidR="00000000" w:rsidP="00C81084">
            <w:pPr>
              <w:pStyle w:val="List"/>
              <w:rPr>
                <w:lang w:val="en-NZ"/>
              </w:rPr>
            </w:pPr>
            <w:r w:rsidRPr="00C81084">
              <w:t>4.5. Modify management of patient’s condition and evaluate regularly as treatment occurs.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5. Handover patient.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List"/>
            </w:pPr>
            <w:r w:rsidRPr="00C81084">
              <w:t>5.1. Document patient details, assessment findings and patient m</w:t>
            </w:r>
            <w:r w:rsidRPr="00C81084">
              <w:t>anagement using a systematic approach.</w:t>
            </w:r>
          </w:p>
          <w:p w:rsidR="00000000" w:rsidRPr="00C81084" w:rsidP="00C81084">
            <w:pPr>
              <w:pStyle w:val="List"/>
            </w:pPr>
            <w:r w:rsidRPr="00C81084">
              <w:t>5.2. Convey information using a systematic handover approach.</w:t>
            </w:r>
          </w:p>
          <w:p w:rsidR="00000000" w:rsidRPr="00C81084" w:rsidP="00C81084">
            <w:pPr>
              <w:pStyle w:val="BodyText"/>
            </w:pPr>
            <w:r w:rsidRPr="00C81084">
              <w:t>5.3. Maintain patient care until the transfer is complete.</w:t>
            </w:r>
          </w:p>
        </w:tc>
      </w:tr>
    </w:tbl>
    <w:p w:rsidR="00000000" w:rsidRPr="00C81084" w:rsidP="00C81084">
      <w:pPr>
        <w:pStyle w:val="BodyText"/>
      </w:pPr>
    </w:p>
    <w:p w:rsidR="00000000" w:rsidRPr="00C81084" w:rsidP="00C81084">
      <w:pPr>
        <w:pStyle w:val="AllowPageBreak"/>
      </w:pPr>
    </w:p>
    <w:p w:rsidR="00000000" w:rsidRPr="00C81084" w:rsidP="00C81084">
      <w:pPr>
        <w:pStyle w:val="Heading1"/>
      </w:pPr>
      <w:bookmarkStart w:id="4" w:name="O_1165558"/>
      <w:bookmarkEnd w:id="4"/>
      <w:r w:rsidRPr="00C8108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64A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rPr>
                <w:rStyle w:val="Emphasis"/>
              </w:rPr>
              <w:t>Foundation skills essential to performance are explicit i</w:t>
            </w:r>
            <w:r w:rsidRPr="00C81084">
              <w:rPr>
                <w:rStyle w:val="Emphasis"/>
              </w:rPr>
              <w:t>n the performance criteria of this unit of competency.</w:t>
            </w:r>
          </w:p>
        </w:tc>
      </w:tr>
    </w:tbl>
    <w:p w:rsidR="00000000" w:rsidRPr="00C81084" w:rsidP="00C81084">
      <w:pPr>
        <w:pStyle w:val="BodyText"/>
      </w:pPr>
    </w:p>
    <w:p w:rsidR="00000000" w:rsidRPr="00C81084" w:rsidP="00C81084">
      <w:pPr>
        <w:pStyle w:val="AllowPageBreak"/>
      </w:pPr>
    </w:p>
    <w:p w:rsidR="00000000" w:rsidRPr="00C81084" w:rsidP="00C81084">
      <w:pPr>
        <w:pStyle w:val="Heading1"/>
      </w:pPr>
      <w:bookmarkStart w:id="5" w:name="O_1165557"/>
      <w:bookmarkEnd w:id="5"/>
      <w:r w:rsidRPr="00C810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Comments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2. HLTOUT005 Assess and deliver standard clinical care supersedes and is equivalent to Release 1. HLTOUT005 Assess and deliver standard clinical care.</w:t>
            </w:r>
          </w:p>
          <w:p w:rsidR="00000000" w:rsidP="00C81084">
            <w:pPr>
              <w:pStyle w:val="BodyText"/>
              <w:rPr>
                <w:lang w:val="en-NZ"/>
              </w:rPr>
            </w:pPr>
            <w:r w:rsidRPr="00C81084">
              <w:t>Minor changes. Mapping Info Table Notes added for superseded unit HLTAMB008 Assess and deliver st</w:t>
            </w:r>
            <w:r w:rsidRPr="00C81084">
              <w:t>andard clinical care.</w:t>
            </w:r>
          </w:p>
        </w:tc>
      </w:tr>
      <w:tr w:rsidTr="00C81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84" w:rsidP="00C81084">
            <w:pPr>
              <w:pStyle w:val="BodyText"/>
            </w:pPr>
            <w:r w:rsidRPr="00C81084">
              <w:t>Release 1. HLTOUT005 Assess and deliver standard clinical care supersedes and is not equivalent to HLTAMB008 Assess and deliver standard clinical care.</w:t>
            </w:r>
          </w:p>
        </w:tc>
      </w:tr>
    </w:tbl>
    <w:p w:rsidR="00000000" w:rsidRPr="00C81084" w:rsidP="00C81084">
      <w:pPr>
        <w:pStyle w:val="BodyText"/>
      </w:pPr>
    </w:p>
    <w:p w:rsidR="00000000" w:rsidRPr="00C81084" w:rsidP="00C81084">
      <w:pPr>
        <w:pStyle w:val="AllowPageBreak"/>
      </w:pPr>
    </w:p>
    <w:p w:rsidR="00000000" w:rsidRPr="00C81084" w:rsidP="00C81084">
      <w:pPr>
        <w:pStyle w:val="Heading1"/>
      </w:pPr>
      <w:bookmarkStart w:id="6" w:name="O_1165562"/>
      <w:bookmarkEnd w:id="6"/>
      <w:r w:rsidRPr="00C81084">
        <w:t>Links</w:t>
      </w:r>
    </w:p>
    <w:p w:rsidR="00000000" w:rsidRPr="00C81084" w:rsidP="00364ADC">
      <w:pPr>
        <w:pStyle w:val="BodyText"/>
      </w:pPr>
      <w:r w:rsidRPr="00C81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4139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81084" w:rsidP="00C81084"/>
    <w:sectPr w:rsidSect="00C810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84" w:rsidRPr="00364ADC" w:rsidP="00364AD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D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084" w:rsidRPr="00364ADC" w:rsidP="00364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D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084"/>
  </w:style>
  <w:style w:type="character" w:customStyle="1" w:styleId="Heading1Char">
    <w:name w:val="Heading 1 Char"/>
    <w:basedOn w:val="DefaultParagraphFont"/>
    <w:link w:val="Heading1"/>
    <w:rsid w:val="00C81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0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08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81084"/>
    <w:rPr>
      <w:b/>
      <w:spacing w:val="0"/>
    </w:rPr>
  </w:style>
  <w:style w:type="character" w:styleId="Emphasis">
    <w:name w:val="Emphasis"/>
    <w:basedOn w:val="DefaultParagraphFont"/>
    <w:qFormat/>
    <w:rsid w:val="00C81084"/>
    <w:rPr>
      <w:i/>
    </w:rPr>
  </w:style>
  <w:style w:type="paragraph" w:customStyle="1" w:styleId="SuperHeading">
    <w:name w:val="SuperHeading"/>
    <w:basedOn w:val="Normal"/>
    <w:rsid w:val="00C81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0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810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0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0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084"/>
  </w:style>
  <w:style w:type="paragraph" w:styleId="TableofFigures">
    <w:name w:val="table of figures"/>
    <w:basedOn w:val="Normal"/>
    <w:next w:val="Normal"/>
    <w:semiHidden/>
    <w:rsid w:val="00C81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0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1084"/>
    <w:rPr>
      <w:rFonts w:ascii="Wingdings" w:hAnsi="Wingdings"/>
    </w:rPr>
  </w:style>
  <w:style w:type="paragraph" w:customStyle="1" w:styleId="TableHeading">
    <w:name w:val="Table Heading"/>
    <w:basedOn w:val="HeadingBase"/>
    <w:rsid w:val="00C81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084"/>
    <w:rPr>
      <w:color w:val="0033CC"/>
      <w:u w:val="none"/>
    </w:rPr>
  </w:style>
  <w:style w:type="paragraph" w:customStyle="1" w:styleId="BodyTextRight">
    <w:name w:val="Body Text Right"/>
    <w:basedOn w:val="BodyText"/>
    <w:rsid w:val="00C81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0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084"/>
    <w:rPr>
      <w:sz w:val="32"/>
    </w:rPr>
  </w:style>
  <w:style w:type="paragraph" w:customStyle="1" w:styleId="HeadingProcedure">
    <w:name w:val="Heading Procedure"/>
    <w:basedOn w:val="HeadingBase"/>
    <w:next w:val="Normal"/>
    <w:rsid w:val="00C81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084"/>
    <w:pPr>
      <w:spacing w:before="60" w:after="60"/>
    </w:pPr>
  </w:style>
  <w:style w:type="paragraph" w:styleId="ListContinue">
    <w:name w:val="List Continue"/>
    <w:basedOn w:val="List"/>
    <w:rsid w:val="00C81084"/>
    <w:pPr>
      <w:ind w:firstLine="0"/>
    </w:pPr>
  </w:style>
  <w:style w:type="paragraph" w:customStyle="1" w:styleId="ListNote">
    <w:name w:val="List Note"/>
    <w:basedOn w:val="List"/>
    <w:rsid w:val="00C81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084"/>
    <w:rPr>
      <w:rFonts w:ascii="Courier New" w:hAnsi="Courier New"/>
    </w:rPr>
  </w:style>
  <w:style w:type="paragraph" w:customStyle="1" w:styleId="NoteBullet">
    <w:name w:val="Note Bullet"/>
    <w:basedOn w:val="Note"/>
    <w:rsid w:val="00C81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0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1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084"/>
    <w:rPr>
      <w:b/>
      <w:smallCaps/>
    </w:rPr>
  </w:style>
  <w:style w:type="paragraph" w:customStyle="1" w:styleId="TableListNumber">
    <w:name w:val="Table List Number"/>
    <w:basedOn w:val="ListNumber"/>
    <w:rsid w:val="00C81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084"/>
    <w:pPr>
      <w:numPr>
        <w:numId w:val="7"/>
      </w:numPr>
    </w:pPr>
  </w:style>
  <w:style w:type="paragraph" w:customStyle="1" w:styleId="ListAlpha2">
    <w:name w:val="List Alpha 2"/>
    <w:basedOn w:val="List2"/>
    <w:rsid w:val="00C81084"/>
    <w:pPr>
      <w:numPr>
        <w:numId w:val="6"/>
      </w:numPr>
    </w:pPr>
  </w:style>
  <w:style w:type="paragraph" w:styleId="List2">
    <w:name w:val="List 2"/>
    <w:basedOn w:val="BodyText"/>
    <w:rsid w:val="00C81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0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0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084"/>
    <w:pPr>
      <w:numPr>
        <w:numId w:val="2"/>
      </w:numPr>
    </w:pPr>
  </w:style>
  <w:style w:type="paragraph" w:styleId="ListContinue2">
    <w:name w:val="List Continue 2"/>
    <w:basedOn w:val="List2"/>
    <w:rsid w:val="00C81084"/>
    <w:pPr>
      <w:ind w:firstLine="0"/>
    </w:pPr>
  </w:style>
  <w:style w:type="paragraph" w:styleId="ListContinue3">
    <w:name w:val="List Continue 3"/>
    <w:basedOn w:val="List3"/>
    <w:rsid w:val="00C81084"/>
    <w:pPr>
      <w:ind w:left="1021" w:firstLine="0"/>
    </w:pPr>
  </w:style>
  <w:style w:type="paragraph" w:styleId="ListContinue4">
    <w:name w:val="List Continue 4"/>
    <w:basedOn w:val="List4"/>
    <w:rsid w:val="00C81084"/>
    <w:pPr>
      <w:ind w:firstLine="0"/>
    </w:pPr>
  </w:style>
  <w:style w:type="paragraph" w:styleId="ListContinue5">
    <w:name w:val="List Continue 5"/>
    <w:basedOn w:val="List5"/>
    <w:rsid w:val="00C81084"/>
    <w:pPr>
      <w:ind w:firstLine="0"/>
    </w:pPr>
  </w:style>
  <w:style w:type="paragraph" w:styleId="ListNumber3">
    <w:name w:val="List Number 3"/>
    <w:basedOn w:val="List3"/>
    <w:rsid w:val="00C81084"/>
    <w:pPr>
      <w:numPr>
        <w:numId w:val="3"/>
      </w:numPr>
    </w:pPr>
  </w:style>
  <w:style w:type="paragraph" w:styleId="ListNumber4">
    <w:name w:val="List Number 4"/>
    <w:basedOn w:val="List4"/>
    <w:rsid w:val="00C81084"/>
    <w:pPr>
      <w:numPr>
        <w:numId w:val="4"/>
      </w:numPr>
    </w:pPr>
  </w:style>
  <w:style w:type="paragraph" w:styleId="ListNumber5">
    <w:name w:val="List Number 5"/>
    <w:basedOn w:val="List5"/>
    <w:rsid w:val="00C81084"/>
    <w:pPr>
      <w:numPr>
        <w:numId w:val="5"/>
      </w:numPr>
    </w:pPr>
  </w:style>
  <w:style w:type="paragraph" w:styleId="BlockText">
    <w:name w:val="Block Text"/>
    <w:basedOn w:val="Normal"/>
    <w:rsid w:val="00C81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084"/>
    <w:rPr>
      <w:sz w:val="16"/>
      <w:vertAlign w:val="superscript"/>
    </w:rPr>
  </w:style>
  <w:style w:type="character" w:customStyle="1" w:styleId="Symbols">
    <w:name w:val="Symbols"/>
    <w:basedOn w:val="DefaultParagraphFont"/>
    <w:rsid w:val="00C81084"/>
    <w:rPr>
      <w:rFonts w:ascii="Symbol" w:hAnsi="Symbol"/>
    </w:rPr>
  </w:style>
  <w:style w:type="character" w:customStyle="1" w:styleId="MenuOptions">
    <w:name w:val="Menu Options"/>
    <w:basedOn w:val="DefaultParagraphFont"/>
    <w:rsid w:val="00C81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084"/>
    <w:rPr>
      <w:b/>
    </w:rPr>
  </w:style>
  <w:style w:type="character" w:customStyle="1" w:styleId="Underlined">
    <w:name w:val="Underlined"/>
    <w:basedOn w:val="DefaultParagraphFont"/>
    <w:rsid w:val="00C81084"/>
    <w:rPr>
      <w:u w:val="single"/>
    </w:rPr>
  </w:style>
  <w:style w:type="paragraph" w:customStyle="1" w:styleId="TableBodyTextRight">
    <w:name w:val="Table Body Text Right"/>
    <w:basedOn w:val="TableBodyText"/>
    <w:rsid w:val="00C81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084"/>
    <w:rPr>
      <w:sz w:val="18"/>
    </w:rPr>
  </w:style>
  <w:style w:type="paragraph" w:customStyle="1" w:styleId="BodySmallRight">
    <w:name w:val="Body Small Right"/>
    <w:basedOn w:val="BodyTextRight"/>
    <w:rsid w:val="00C81084"/>
    <w:rPr>
      <w:sz w:val="18"/>
      <w:szCs w:val="18"/>
    </w:rPr>
  </w:style>
  <w:style w:type="paragraph" w:customStyle="1" w:styleId="MarginEdition">
    <w:name w:val="Margin Edition"/>
    <w:basedOn w:val="MarginNote"/>
    <w:rsid w:val="00C81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084"/>
    <w:rPr>
      <w:sz w:val="2"/>
      <w:szCs w:val="2"/>
    </w:rPr>
  </w:style>
  <w:style w:type="character" w:customStyle="1" w:styleId="Small">
    <w:name w:val="Small"/>
    <w:basedOn w:val="DefaultParagraphFont"/>
    <w:rsid w:val="00C81084"/>
    <w:rPr>
      <w:sz w:val="16"/>
    </w:rPr>
  </w:style>
  <w:style w:type="paragraph" w:customStyle="1" w:styleId="WideTable">
    <w:name w:val="Wide Table"/>
    <w:basedOn w:val="Normal"/>
    <w:rsid w:val="00C81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084"/>
  </w:style>
  <w:style w:type="paragraph" w:styleId="Quote">
    <w:name w:val="Quote"/>
    <w:basedOn w:val="Heading1"/>
    <w:link w:val="QuoteChar"/>
    <w:qFormat/>
    <w:rsid w:val="00C81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084"/>
    <w:pPr>
      <w:pageBreakBefore/>
    </w:pPr>
  </w:style>
  <w:style w:type="paragraph" w:customStyle="1" w:styleId="Border">
    <w:name w:val="Border"/>
    <w:basedOn w:val="Normal"/>
    <w:qFormat/>
    <w:rsid w:val="00C81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084"/>
    <w:rPr>
      <w:u w:val="single"/>
    </w:rPr>
  </w:style>
  <w:style w:type="character" w:customStyle="1" w:styleId="BoldandItalics">
    <w:name w:val="Bold and Italics"/>
    <w:qFormat/>
    <w:rsid w:val="00C81084"/>
    <w:rPr>
      <w:b/>
      <w:i/>
      <w:u w:val="none"/>
    </w:rPr>
  </w:style>
  <w:style w:type="paragraph" w:styleId="BalloonText">
    <w:name w:val="Balloon Text"/>
    <w:basedOn w:val="Normal"/>
    <w:link w:val="BalloonTextChar"/>
    <w:rsid w:val="00C81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084"/>
    <w:pPr>
      <w:spacing w:before="0" w:after="0"/>
    </w:pPr>
  </w:style>
  <w:style w:type="paragraph" w:customStyle="1" w:styleId="BodyTextBold">
    <w:name w:val="Body Text Bold"/>
    <w:basedOn w:val="BodyText"/>
    <w:qFormat/>
    <w:rsid w:val="00C81084"/>
    <w:rPr>
      <w:b/>
    </w:rPr>
  </w:style>
  <w:style w:type="character" w:styleId="Hyperlink">
    <w:name w:val="Hyperlink"/>
    <w:basedOn w:val="DefaultParagraphFont"/>
    <w:uiPriority w:val="99"/>
    <w:unhideWhenUsed/>
    <w:rsid w:val="00364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4497</Characters>
  <Application>Microsoft Office Word</Application>
  <DocSecurity>0</DocSecurity>
  <Lines>140</Lines>
  <Paragraphs>71</Paragraphs>
  <ScaleCrop>false</ScaleCrop>
  <Company>Author-it Software Corporation Ltd.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HLTOUT005 Assess and deliver standard clinical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