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306" w:rsidP="00A02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HLTOUT005 Assess and deliver standard clinical care</w:t>
      </w:r>
      <w:r>
        <w:fldChar w:fldCharType="end"/>
      </w:r>
    </w:p>
    <w:p w:rsidR="00A02306" w:rsidP="00A02306">
      <w:pPr>
        <w:pStyle w:val="Version"/>
        <w:sectPr w:rsidSect="00B06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6E44" w:rsidP="00B06E44">
      <w:pPr>
        <w:pStyle w:val="SuperHeading"/>
      </w:pPr>
      <w:r w:rsidRPr="00B06E44">
        <w:t>HLTOUT005 Assess and deliver standard clinical care</w:t>
      </w:r>
    </w:p>
    <w:p w:rsidR="00000000" w:rsidRPr="00B06E44" w:rsidP="00B06E44">
      <w:pPr>
        <w:pStyle w:val="Heading1"/>
      </w:pPr>
      <w:bookmarkStart w:id="1" w:name="O_1165561"/>
      <w:bookmarkEnd w:id="1"/>
      <w:r w:rsidRPr="00B06E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Comments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2. HLTOUT005 Assess and deliver standard clinical care supersedes and is equivalent to Release 1. HLTOUT005 Assess and deliver standard clinical care.</w:t>
            </w:r>
          </w:p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Minor changes. Mapping Info Table Note</w:t>
            </w:r>
            <w:r w:rsidRPr="00B06E44">
              <w:t>s added for superseded unit HLTAMB008 Assess and deliver standard clinical care.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1. HLTOUT005 Assess and deliver standard clinical care supersedes and is not equivalent to HLTAMB008 Assess and deliver standard clinical care.</w:t>
            </w:r>
          </w:p>
        </w:tc>
      </w:tr>
    </w:tbl>
    <w:p w:rsidR="00000000" w:rsidRPr="00B06E44" w:rsidP="00B06E44">
      <w:pPr>
        <w:pStyle w:val="BodyText"/>
      </w:pPr>
    </w:p>
    <w:p w:rsidR="00000000" w:rsidRPr="00B06E44" w:rsidP="00B06E44">
      <w:pPr>
        <w:pStyle w:val="AllowPageBreak"/>
      </w:pPr>
    </w:p>
    <w:p w:rsidR="00000000" w:rsidRPr="00B06E44" w:rsidP="00B06E44">
      <w:pPr>
        <w:pStyle w:val="Heading1"/>
      </w:pPr>
      <w:bookmarkStart w:id="2" w:name="O_1165560"/>
      <w:bookmarkEnd w:id="2"/>
      <w:r w:rsidRPr="00B06E44">
        <w:t>Application</w:t>
      </w:r>
    </w:p>
    <w:p w:rsidR="00000000" w:rsidRPr="00B06E44" w:rsidP="00A02306">
      <w:pPr>
        <w:pStyle w:val="BodyText"/>
      </w:pPr>
      <w:r w:rsidRPr="00B06E44">
        <w:t xml:space="preserve">This unit of competency describes the skills and knowledge required to conduct clinical assessments and deliver standard patient care in the pre-hospital and out-of-hospital environment. </w:t>
      </w:r>
    </w:p>
    <w:p w:rsidR="00000000" w:rsidRPr="00B06E44" w:rsidP="00A02306">
      <w:pPr>
        <w:pStyle w:val="BodyText"/>
      </w:pPr>
      <w:r w:rsidRPr="00B06E44">
        <w:t>This unit applies to out-of-hospital h</w:t>
      </w:r>
      <w:r w:rsidRPr="00B06E44">
        <w:t>ealth care workers. The worker assists in advanced life support, prioritises clinical care, implements time-critical health care procedures and therapies, and monitors patients based on patient needs and in accordance with established clinical practice gui</w:t>
      </w:r>
      <w:r w:rsidRPr="00B06E44">
        <w:t>delines and protocols.</w:t>
      </w:r>
    </w:p>
    <w:p w:rsidR="00000000" w:rsidRPr="00A02306" w:rsidP="00A02306">
      <w:pPr>
        <w:pStyle w:val="BodyText"/>
        <w:rPr>
          <w:i/>
        </w:rPr>
      </w:pPr>
      <w:r w:rsidRPr="00A02306">
        <w:rPr>
          <w:rStyle w:val="Emphasis"/>
        </w:rPr>
        <w:t>The skills in this unit must be applied in accordance with Commonwealth and State or Territory legislation, Australian Standards and industry codes of practice.</w:t>
      </w:r>
    </w:p>
    <w:p w:rsidR="00000000" w:rsidRPr="00B06E44" w:rsidP="00B06E44">
      <w:pPr>
        <w:pStyle w:val="Heading1"/>
      </w:pPr>
      <w:bookmarkStart w:id="3" w:name="O_1165559"/>
      <w:bookmarkEnd w:id="3"/>
      <w:r w:rsidRPr="00B06E4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723"/>
      </w:tblGrid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rPr>
                <w:rStyle w:val="SpecialBold"/>
              </w:rPr>
              <w:t>ELEMENT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rPr>
                <w:rStyle w:val="SpecialBold"/>
              </w:rPr>
              <w:t>PERFORMANCE</w:t>
            </w:r>
            <w:r w:rsidRPr="00B06E44">
              <w:rPr>
                <w:rStyle w:val="SpecialBold"/>
              </w:rPr>
              <w:t xml:space="preserve"> CRITERIA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Elements define the essential outcomes.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Performance criteria describe the performance needed to demonstrate achievement of the element.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1. Perform out-of-hospital patient assessment.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List"/>
            </w:pPr>
            <w:r w:rsidRPr="00B06E44">
              <w:t>1.1. Conduct pre-planning of assessment before arrival at sce</w:t>
            </w:r>
            <w:r w:rsidRPr="00B06E44">
              <w:t>ne based on information communicated in the request for service.</w:t>
            </w:r>
          </w:p>
          <w:p w:rsidR="00000000" w:rsidRPr="00B06E44" w:rsidP="00B06E44">
            <w:pPr>
              <w:pStyle w:val="List"/>
            </w:pPr>
            <w:r w:rsidRPr="00B06E44">
              <w:t>1.2. Conduct scene survey according to established clinical guidelines and protocols.</w:t>
            </w:r>
          </w:p>
          <w:p w:rsidR="00000000" w:rsidRPr="00B06E44" w:rsidP="00B06E44">
            <w:pPr>
              <w:pStyle w:val="List"/>
            </w:pPr>
            <w:r w:rsidRPr="00B06E44">
              <w:t>1.3. Perform systematic patient assessment to collect and analyse information.</w:t>
            </w:r>
          </w:p>
          <w:p w:rsidR="00000000" w:rsidRPr="00B06E44" w:rsidP="00B06E44">
            <w:pPr>
              <w:pStyle w:val="List"/>
            </w:pPr>
            <w:r w:rsidRPr="00B06E44">
              <w:t>1.4. Use clinical knowledge to assess the mechanism and patterns for injury or illness to make an informed decision about the patient’s condition.</w:t>
            </w:r>
          </w:p>
          <w:p w:rsidR="00000000" w:rsidRPr="00B06E44" w:rsidP="00B06E44">
            <w:pPr>
              <w:pStyle w:val="List"/>
            </w:pPr>
            <w:r w:rsidRPr="00B06E44">
              <w:t>1.5. Use principles of anatomy and physiology to identify variations from normal homeostasis.</w:t>
            </w:r>
          </w:p>
          <w:p w:rsidR="00000000" w:rsidRPr="00B06E44" w:rsidP="00B06E44">
            <w:pPr>
              <w:pStyle w:val="List"/>
            </w:pPr>
            <w:r w:rsidRPr="00B06E44">
              <w:t>1.6. Differenti</w:t>
            </w:r>
            <w:r w:rsidRPr="00B06E44">
              <w:t>ate between patients who require rapid stabilisation and transport because of trauma or illness, and those who require further on-the-scene assessment and management.</w:t>
            </w:r>
          </w:p>
          <w:p w:rsidR="00000000" w:rsidP="00B06E44">
            <w:pPr>
              <w:pStyle w:val="List"/>
              <w:rPr>
                <w:lang w:val="en-NZ"/>
              </w:rPr>
            </w:pPr>
            <w:r w:rsidRPr="00B06E44">
              <w:t>1.7. Use equipment correctly to support patient care being implemented.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2. Plan out-of-h</w:t>
            </w:r>
            <w:r w:rsidRPr="00B06E44">
              <w:t>ospital patient care.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List"/>
            </w:pPr>
            <w:r w:rsidRPr="00B06E44">
              <w:t>2.1. Determine time-critical issues given resource considerations.</w:t>
            </w:r>
          </w:p>
          <w:p w:rsidR="00000000" w:rsidRPr="00B06E44" w:rsidP="00B06E44">
            <w:pPr>
              <w:pStyle w:val="List"/>
            </w:pPr>
            <w:r w:rsidRPr="00B06E44">
              <w:t>2.2. Assess transport requirements and appropriate destination, versus transport criticality, to ensure requirements of urgency and patient care are met.</w:t>
            </w:r>
          </w:p>
          <w:p w:rsidR="00000000" w:rsidRPr="00B06E44" w:rsidP="00B06E44">
            <w:pPr>
              <w:pStyle w:val="List"/>
            </w:pPr>
            <w:r w:rsidRPr="00B06E44">
              <w:t>2.3. Assess t</w:t>
            </w:r>
            <w:r w:rsidRPr="00B06E44">
              <w:t>he effects and any associated risks of proposed patient’s condition.</w:t>
            </w:r>
          </w:p>
          <w:p w:rsidR="00000000" w:rsidRPr="00B06E44" w:rsidP="00B06E44">
            <w:pPr>
              <w:pStyle w:val="List"/>
            </w:pPr>
            <w:r w:rsidRPr="00B06E44">
              <w:t>2.4. Develop a patient management plan based on patient’s needs and assessment of scene.</w:t>
            </w:r>
          </w:p>
          <w:p w:rsidR="00000000" w:rsidP="00B06E44">
            <w:pPr>
              <w:pStyle w:val="List"/>
              <w:rPr>
                <w:lang w:val="en-NZ"/>
              </w:rPr>
            </w:pPr>
            <w:r w:rsidRPr="00B06E44">
              <w:t>2.5. Use available information to justify patient management plan.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3. Implement out-of-hospital p</w:t>
            </w:r>
            <w:r w:rsidRPr="00B06E44">
              <w:t>atient care procedures.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List"/>
            </w:pPr>
            <w:r w:rsidRPr="00B06E44">
              <w:t>3.1. Implement all care and treatment procedures within established scope of practice defined by organisational guidelines and protocols.</w:t>
            </w:r>
          </w:p>
          <w:p w:rsidR="00000000" w:rsidRPr="00B06E44" w:rsidP="00B06E44">
            <w:pPr>
              <w:pStyle w:val="List"/>
            </w:pPr>
            <w:r w:rsidRPr="00B06E44">
              <w:t>3.2. Commence pharmacological therapies as determined by patient’s presenting condition, withi</w:t>
            </w:r>
            <w:r w:rsidRPr="00B06E44">
              <w:t>n established scope of practice defined by organisational guidelines and protocols.</w:t>
            </w:r>
          </w:p>
          <w:p w:rsidR="00000000" w:rsidP="00B06E44">
            <w:pPr>
              <w:pStyle w:val="List"/>
              <w:rPr>
                <w:lang w:val="en-NZ"/>
              </w:rPr>
            </w:pPr>
            <w:r w:rsidRPr="00B06E44">
              <w:t>3.3. Identify need for assistance where the situation or patient’s condition requires treatment that is outside the scope of practice and seek clinical support immediately.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4. Monitor and evaluate out-of-hospital patient care.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List"/>
            </w:pPr>
            <w:r w:rsidRPr="00B06E44">
              <w:t>4.1. Evaluate patient care interventions and pharmacological therapy, noting effectiveness of treatment regime and amend according to patient’</w:t>
            </w:r>
            <w:r w:rsidRPr="00B06E44">
              <w:t>s condition in accordance with established clinical guidelines and protocols.</w:t>
            </w:r>
          </w:p>
          <w:p w:rsidR="00000000" w:rsidRPr="00B06E44" w:rsidP="00B06E44">
            <w:pPr>
              <w:pStyle w:val="List"/>
            </w:pPr>
            <w:r w:rsidRPr="00B06E44">
              <w:t>4.2. Use equipment to monitor all aspects of patient’s condition at appropriate intervals.</w:t>
            </w:r>
          </w:p>
          <w:p w:rsidR="00000000" w:rsidRPr="00B06E44" w:rsidP="00B06E44">
            <w:pPr>
              <w:pStyle w:val="List"/>
            </w:pPr>
            <w:r w:rsidRPr="00B06E44">
              <w:t xml:space="preserve">4.3. Record data regarding patient’s condition, noting any trends and their impacts on </w:t>
            </w:r>
            <w:r w:rsidRPr="00B06E44">
              <w:t>patient condition.</w:t>
            </w:r>
          </w:p>
          <w:p w:rsidR="00000000" w:rsidRPr="00B06E44" w:rsidP="00B06E44">
            <w:pPr>
              <w:pStyle w:val="List"/>
            </w:pPr>
            <w:r w:rsidRPr="00B06E44">
              <w:t>4.4. Identify signs of deterioration in patient’s condition.</w:t>
            </w:r>
          </w:p>
          <w:p w:rsidR="00000000" w:rsidP="00B06E44">
            <w:pPr>
              <w:pStyle w:val="List"/>
              <w:rPr>
                <w:lang w:val="en-NZ"/>
              </w:rPr>
            </w:pPr>
            <w:r w:rsidRPr="00B06E44">
              <w:t>4.5. Modify management of patient’s condition and evaluate regularly as treatment occurs.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5. Handover patient.</w:t>
            </w:r>
          </w:p>
        </w:tc>
        <w:tc>
          <w:tcPr>
            <w:tcW w:w="5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List"/>
            </w:pPr>
            <w:r w:rsidRPr="00B06E44">
              <w:t>5.1. Document patient details, assessment findings and patient m</w:t>
            </w:r>
            <w:r w:rsidRPr="00B06E44">
              <w:t>anagement using a systematic approach.</w:t>
            </w:r>
          </w:p>
          <w:p w:rsidR="00000000" w:rsidRPr="00B06E44" w:rsidP="00B06E44">
            <w:pPr>
              <w:pStyle w:val="List"/>
            </w:pPr>
            <w:r w:rsidRPr="00B06E44">
              <w:t>5.2. Convey information using a systematic handover approach.</w:t>
            </w:r>
          </w:p>
          <w:p w:rsidR="00000000" w:rsidRPr="00B06E44" w:rsidP="00B06E44">
            <w:pPr>
              <w:pStyle w:val="BodyText"/>
            </w:pPr>
            <w:r w:rsidRPr="00B06E44">
              <w:t>5.3. Maintain patient care until the transfer is complete.</w:t>
            </w:r>
          </w:p>
        </w:tc>
      </w:tr>
    </w:tbl>
    <w:p w:rsidR="00000000" w:rsidRPr="00B06E44" w:rsidP="00B06E44">
      <w:pPr>
        <w:pStyle w:val="BodyText"/>
      </w:pPr>
    </w:p>
    <w:p w:rsidR="00000000" w:rsidRPr="00B06E44" w:rsidP="00B06E44">
      <w:pPr>
        <w:pStyle w:val="AllowPageBreak"/>
      </w:pPr>
    </w:p>
    <w:p w:rsidR="00000000" w:rsidRPr="00B06E44" w:rsidP="00B06E44">
      <w:pPr>
        <w:pStyle w:val="Heading1"/>
      </w:pPr>
      <w:bookmarkStart w:id="4" w:name="O_1165558"/>
      <w:bookmarkEnd w:id="4"/>
      <w:r w:rsidRPr="00B06E4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023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rPr>
                <w:rStyle w:val="Emphasis"/>
              </w:rPr>
              <w:t>Foundation skills essential to performance are explicit i</w:t>
            </w:r>
            <w:r w:rsidRPr="00B06E44">
              <w:rPr>
                <w:rStyle w:val="Emphasis"/>
              </w:rPr>
              <w:t>n the performance criteria of this unit of competency.</w:t>
            </w:r>
          </w:p>
        </w:tc>
      </w:tr>
    </w:tbl>
    <w:p w:rsidR="00000000" w:rsidRPr="00B06E44" w:rsidP="00B06E44">
      <w:pPr>
        <w:pStyle w:val="BodyText"/>
      </w:pPr>
    </w:p>
    <w:p w:rsidR="00000000" w:rsidRPr="00B06E44" w:rsidP="00B06E44">
      <w:pPr>
        <w:pStyle w:val="AllowPageBreak"/>
      </w:pPr>
    </w:p>
    <w:p w:rsidR="00000000" w:rsidRPr="00B06E44" w:rsidP="00B06E44">
      <w:pPr>
        <w:pStyle w:val="Heading1"/>
      </w:pPr>
      <w:bookmarkStart w:id="5" w:name="O_1165557"/>
      <w:bookmarkEnd w:id="5"/>
      <w:r w:rsidRPr="00B06E4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Comments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</w:t>
            </w:r>
            <w:r w:rsidRPr="00B06E44">
              <w:t>ase 2. HLTOUT005 Assess and deliver standard clinical care supersedes and is equivalent to Release 1. HLTOUT005 Assess and deliver standard clinical care.</w:t>
            </w:r>
          </w:p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Minor changes. Mapping Info Table Notes added for superseded unit HLTAMB008 Assess and deliver standa</w:t>
            </w:r>
            <w:r w:rsidRPr="00B06E44">
              <w:t>rd clinical care.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1. HLTOUT005 Assess and deliver standard clinical care supersedes and is not equivalent to HLTAMB008 Assess and deliver standard clinical care.</w:t>
            </w:r>
          </w:p>
        </w:tc>
      </w:tr>
    </w:tbl>
    <w:p w:rsidR="00000000" w:rsidRPr="00B06E44" w:rsidP="00B06E44">
      <w:pPr>
        <w:pStyle w:val="BodyText"/>
      </w:pPr>
    </w:p>
    <w:p w:rsidR="00000000" w:rsidRPr="00B06E44" w:rsidP="00B06E44">
      <w:pPr>
        <w:pStyle w:val="AllowPageBreak"/>
      </w:pPr>
    </w:p>
    <w:p w:rsidR="00000000" w:rsidRPr="00B06E44" w:rsidP="00B06E44">
      <w:pPr>
        <w:pStyle w:val="Heading1"/>
      </w:pPr>
      <w:bookmarkStart w:id="6" w:name="O_1165562"/>
      <w:bookmarkEnd w:id="6"/>
      <w:r w:rsidRPr="00B06E44">
        <w:t>Links</w:t>
      </w:r>
    </w:p>
    <w:p w:rsidR="00000000" w:rsidRPr="00B06E44" w:rsidP="00A02306">
      <w:pPr>
        <w:pStyle w:val="BodyText"/>
      </w:pPr>
      <w:r w:rsidRPr="00B06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31B0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06E44" w:rsidP="00A02306">
      <w:pPr>
        <w:pStyle w:val="BodyText"/>
        <w:sectPr w:rsidSect="00B06E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6E44" w:rsidP="00B06E44">
      <w:pPr>
        <w:pStyle w:val="SuperHeading"/>
      </w:pPr>
      <w:r w:rsidRPr="00B06E44">
        <w:t>Assessment Requirements for HLTOUT005 Assess and deliver standa</w:t>
      </w:r>
      <w:r w:rsidRPr="00B06E44">
        <w:t>rd clinical care</w:t>
      </w:r>
    </w:p>
    <w:p w:rsidR="00000000" w:rsidRPr="00B06E44" w:rsidP="00B06E44">
      <w:pPr>
        <w:pStyle w:val="Heading1"/>
      </w:pPr>
      <w:bookmarkStart w:id="7" w:name="O_1165555"/>
      <w:bookmarkEnd w:id="7"/>
      <w:r w:rsidRPr="00B06E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7"/>
        <w:gridCol w:w="7393"/>
      </w:tblGrid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Release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Comments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7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2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2. HLTOUT005 Assess and deliver standard clinical care supersedes and is equivalent to Release 1. HLTOUT005 Assess and deliver standard clinical care.</w:t>
            </w:r>
          </w:p>
          <w:p w:rsidR="00000000" w:rsidP="00B06E44">
            <w:pPr>
              <w:pStyle w:val="BodyText"/>
              <w:rPr>
                <w:lang w:val="en-NZ"/>
              </w:rPr>
            </w:pPr>
            <w:r w:rsidRPr="00B06E44">
              <w:t>Minor changes. Mapping Info Table Notes added for superseded unit HLTAMB008 Assess and deliver standard clinical care.</w:t>
            </w:r>
          </w:p>
        </w:tc>
      </w:tr>
      <w:tr w:rsidTr="00B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1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E44" w:rsidP="00B06E44">
            <w:pPr>
              <w:pStyle w:val="BodyText"/>
            </w:pPr>
            <w:r w:rsidRPr="00B06E44">
              <w:t>Release 1. HLTOUT005 Assess and deliver standard clinical care supersedes and is not equivalent to HLTAMB008 Assess and deliv</w:t>
            </w:r>
            <w:r w:rsidRPr="00B06E44">
              <w:t>er standard clinical care.</w:t>
            </w:r>
          </w:p>
        </w:tc>
      </w:tr>
    </w:tbl>
    <w:p w:rsidR="00000000" w:rsidRPr="00B06E44" w:rsidP="00B06E44">
      <w:pPr>
        <w:pStyle w:val="BodyText"/>
      </w:pPr>
    </w:p>
    <w:p w:rsidR="00000000" w:rsidRPr="00B06E44" w:rsidP="00B06E44">
      <w:pPr>
        <w:pStyle w:val="AllowPageBreak"/>
      </w:pPr>
    </w:p>
    <w:p w:rsidR="00000000" w:rsidRPr="00B06E44" w:rsidP="00B06E44">
      <w:pPr>
        <w:pStyle w:val="Heading1"/>
      </w:pPr>
      <w:bookmarkStart w:id="8" w:name="O_1165554"/>
      <w:bookmarkEnd w:id="8"/>
      <w:r w:rsidRPr="00B06E44">
        <w:t>Performance Evidence</w:t>
      </w:r>
    </w:p>
    <w:p w:rsidR="00000000" w:rsidRPr="00B06E44" w:rsidP="00A02306">
      <w:pPr>
        <w:pStyle w:val="BodyText"/>
      </w:pPr>
      <w:r w:rsidRPr="00B06E44">
        <w:t>Evidence of the ability to complete tasks outlined in elements and performance criteria of this unit in the context of the job role.</w:t>
      </w:r>
    </w:p>
    <w:p w:rsidR="00000000" w:rsidRPr="00B06E44" w:rsidP="00A02306">
      <w:pPr>
        <w:pStyle w:val="BodyText"/>
      </w:pPr>
      <w:r w:rsidRPr="00B06E44">
        <w:t>There must be evidence that the candidate has:</w:t>
      </w:r>
    </w:p>
    <w:p w:rsidR="00000000" w:rsidRPr="00B06E44" w:rsidP="00B06E44">
      <w:pPr>
        <w:pStyle w:val="ListBullet"/>
      </w:pPr>
      <w:r w:rsidRPr="00B06E44">
        <w:t>per</w:t>
      </w:r>
      <w:r w:rsidRPr="00B06E44">
        <w:t>formed the activities outlined in the performance criteria of this unit during a period of 160 hours work, under clinical supervision in the workplace</w:t>
      </w:r>
    </w:p>
    <w:p w:rsidR="00000000" w:rsidRPr="00B06E44" w:rsidP="00B06E44">
      <w:pPr>
        <w:pStyle w:val="ListBullet"/>
      </w:pPr>
      <w:r w:rsidRPr="00B06E44">
        <w:t>performed a clinical assessment and implemented standard care in an out-of-hospital context on at least f</w:t>
      </w:r>
      <w:r w:rsidRPr="00B06E44">
        <w:t>ive different patient presentations for an illness or trauma impacting health status including:</w:t>
      </w:r>
    </w:p>
    <w:p w:rsidR="00000000" w:rsidRPr="00B06E44" w:rsidP="00B06E44">
      <w:pPr>
        <w:pStyle w:val="ListBullet2"/>
      </w:pPr>
      <w:r w:rsidRPr="00B06E44">
        <w:t>primary survey</w:t>
      </w:r>
    </w:p>
    <w:p w:rsidR="00000000" w:rsidRPr="00B06E44" w:rsidP="00B06E44">
      <w:pPr>
        <w:pStyle w:val="ListBullet2"/>
      </w:pPr>
      <w:r w:rsidRPr="00B06E44">
        <w:t>secondary survey</w:t>
      </w:r>
    </w:p>
    <w:p w:rsidR="00000000" w:rsidRPr="00B06E44" w:rsidP="00B06E44">
      <w:pPr>
        <w:pStyle w:val="ListBullet2"/>
      </w:pPr>
      <w:r w:rsidRPr="00B06E44">
        <w:t>planning and implementing patient management based on assessment, time-criticality and available resources</w:t>
      </w:r>
    </w:p>
    <w:p w:rsidR="00000000" w:rsidRPr="00B06E44" w:rsidP="00B06E44">
      <w:pPr>
        <w:pStyle w:val="ListBullet2"/>
      </w:pPr>
      <w:r w:rsidRPr="00B06E44">
        <w:t>monitoring patient</w:t>
      </w:r>
    </w:p>
    <w:p w:rsidR="00000000" w:rsidRPr="00B06E44" w:rsidP="00B06E44">
      <w:pPr>
        <w:pStyle w:val="ListBullet2"/>
      </w:pPr>
      <w:r w:rsidRPr="00B06E44">
        <w:t>t</w:t>
      </w:r>
      <w:r w:rsidRPr="00B06E44">
        <w:t>ransferring care using a systematic approach to handover</w:t>
      </w:r>
    </w:p>
    <w:p w:rsidR="00000000" w:rsidRPr="00B06E44" w:rsidP="00B06E44">
      <w:pPr>
        <w:pStyle w:val="ListBullet"/>
      </w:pPr>
      <w:r w:rsidRPr="00B06E44">
        <w:t>responded in different operational conditions or circumstances to implement the following standard clinical care interventions according to established clinical guidelines and protocols:</w:t>
      </w:r>
    </w:p>
    <w:p w:rsidR="00000000" w:rsidRPr="00B06E44" w:rsidP="00B06E44">
      <w:pPr>
        <w:pStyle w:val="ListBullet2"/>
      </w:pPr>
      <w:r w:rsidRPr="00B06E44">
        <w:t>airway management for a patient</w:t>
      </w:r>
    </w:p>
    <w:p w:rsidR="00000000" w:rsidRPr="00B06E44" w:rsidP="00B06E44">
      <w:pPr>
        <w:pStyle w:val="ListBullet2"/>
      </w:pPr>
      <w:r w:rsidRPr="00B06E44">
        <w:t>cardiac monitoring through limb leads only</w:t>
      </w:r>
    </w:p>
    <w:p w:rsidR="00000000" w:rsidRPr="00B06E44" w:rsidP="00B06E44">
      <w:pPr>
        <w:pStyle w:val="ListBullet2"/>
      </w:pPr>
      <w:r w:rsidRPr="00B06E44">
        <w:t>cardiac rhythm evaluation as shockable or non-shockable</w:t>
      </w:r>
    </w:p>
    <w:p w:rsidR="00000000" w:rsidRPr="00B06E44" w:rsidP="00B06E44">
      <w:pPr>
        <w:pStyle w:val="ListBullet2"/>
      </w:pPr>
      <w:r w:rsidRPr="00B06E44">
        <w:t>manual defibrillation on a simulation manikin according to established clinical guidelines and protocols</w:t>
      </w:r>
    </w:p>
    <w:p w:rsidR="00000000" w:rsidRPr="00B06E44" w:rsidP="00B06E44">
      <w:pPr>
        <w:pStyle w:val="ListBullet2"/>
      </w:pPr>
      <w:r w:rsidRPr="00B06E44">
        <w:t>administering and re</w:t>
      </w:r>
      <w:r w:rsidRPr="00B06E44">
        <w:t>sponding to the effects of pharmacological therapy to treat and manage patient’s illness or condition</w:t>
      </w:r>
    </w:p>
    <w:p w:rsidR="00000000" w:rsidRPr="00B06E44" w:rsidP="00B06E44">
      <w:pPr>
        <w:pStyle w:val="ListBullet"/>
      </w:pPr>
      <w:r w:rsidRPr="00B06E44">
        <w:t>performed basic life support and be able to assist in advanced life support on an adult, child and infant simulation manikin according to established cli</w:t>
      </w:r>
      <w:r w:rsidRPr="00B06E44">
        <w:t>nical guidelines and protocols.</w:t>
      </w:r>
    </w:p>
    <w:p w:rsidR="00000000" w:rsidRPr="00B06E44" w:rsidP="00B06E44">
      <w:pPr>
        <w:pStyle w:val="AllowPageBreak"/>
      </w:pPr>
    </w:p>
    <w:p w:rsidR="00000000" w:rsidRPr="00B06E44" w:rsidP="00B06E44">
      <w:pPr>
        <w:pStyle w:val="Heading1"/>
      </w:pPr>
      <w:bookmarkStart w:id="9" w:name="O_1165553"/>
      <w:bookmarkEnd w:id="9"/>
      <w:r w:rsidRPr="00B06E44">
        <w:t>Knowledge Evidence</w:t>
      </w:r>
    </w:p>
    <w:p w:rsidR="00000000" w:rsidRPr="00B06E44" w:rsidP="00A02306">
      <w:pPr>
        <w:pStyle w:val="BodyText"/>
      </w:pPr>
      <w:r w:rsidRPr="00B06E44">
        <w:t>Demonstrated knowledge required to complete the tasks outlined in elements and performance criteria of this unit:</w:t>
      </w:r>
    </w:p>
    <w:p w:rsidR="00000000" w:rsidRPr="00B06E44" w:rsidP="00B06E44">
      <w:pPr>
        <w:pStyle w:val="ListBullet"/>
      </w:pPr>
      <w:r w:rsidRPr="00B06E44">
        <w:t>Commonwealth and State/Territory legal considerations for emergency hea</w:t>
      </w:r>
      <w:r w:rsidRPr="00B06E44">
        <w:t>lth care workers working in out-of-hospital care, and how these are applied in organisations including:</w:t>
      </w:r>
    </w:p>
    <w:p w:rsidR="00000000" w:rsidRPr="00B06E44" w:rsidP="00B06E44">
      <w:pPr>
        <w:pStyle w:val="ListBullet2"/>
      </w:pPr>
      <w:r w:rsidRPr="00B06E44">
        <w:t>discrimination</w:t>
      </w:r>
    </w:p>
    <w:p w:rsidR="00000000" w:rsidRPr="00B06E44" w:rsidP="00B06E44">
      <w:pPr>
        <w:pStyle w:val="ListBullet2"/>
      </w:pPr>
      <w:r w:rsidRPr="00B06E44">
        <w:t>duty of care</w:t>
      </w:r>
    </w:p>
    <w:p w:rsidR="00000000" w:rsidRPr="00B06E44" w:rsidP="00B06E44">
      <w:pPr>
        <w:pStyle w:val="ListBullet2"/>
      </w:pPr>
      <w:r w:rsidRPr="00B06E44">
        <w:t>mandatory reporting</w:t>
      </w:r>
    </w:p>
    <w:p w:rsidR="00000000" w:rsidRPr="00B06E44" w:rsidP="00B06E44">
      <w:pPr>
        <w:pStyle w:val="ListBullet2"/>
      </w:pPr>
      <w:r w:rsidRPr="00B06E44">
        <w:t>health records and information privacy</w:t>
      </w:r>
    </w:p>
    <w:p w:rsidR="00000000" w:rsidRPr="00B06E44" w:rsidP="00B06E44">
      <w:pPr>
        <w:pStyle w:val="ListBullet2"/>
      </w:pPr>
      <w:r w:rsidRPr="00B06E44">
        <w:t>drugs and poisons</w:t>
      </w:r>
    </w:p>
    <w:p w:rsidR="00000000" w:rsidRPr="00B06E44" w:rsidP="00B06E44">
      <w:pPr>
        <w:pStyle w:val="ListBullet2"/>
      </w:pPr>
      <w:r w:rsidRPr="00B06E44">
        <w:t>informed consent</w:t>
      </w:r>
    </w:p>
    <w:p w:rsidR="00000000" w:rsidRPr="00B06E44" w:rsidP="00B06E44">
      <w:pPr>
        <w:pStyle w:val="ListBullet2"/>
      </w:pPr>
      <w:r w:rsidRPr="00B06E44">
        <w:t>work health and safety</w:t>
      </w:r>
    </w:p>
    <w:p w:rsidR="00000000" w:rsidRPr="00B06E44" w:rsidP="00B06E44">
      <w:pPr>
        <w:pStyle w:val="ListBullet"/>
      </w:pPr>
      <w:r w:rsidRPr="00B06E44">
        <w:t>organisational policies and procedures and established clinical guidelines and protocols for patient care and emergency equipment</w:t>
      </w:r>
    </w:p>
    <w:p w:rsidR="00000000" w:rsidRPr="00B06E44" w:rsidP="00B06E44">
      <w:pPr>
        <w:pStyle w:val="ListBullet"/>
      </w:pPr>
      <w:r w:rsidRPr="00B06E44">
        <w:t>ethical considerations for emergency health care workers working in out-of-hospital care, and how these are applied in organis</w:t>
      </w:r>
      <w:r w:rsidRPr="00B06E44">
        <w:t>ations including:</w:t>
      </w:r>
    </w:p>
    <w:p w:rsidR="00000000" w:rsidRPr="00B06E44" w:rsidP="00B06E44">
      <w:pPr>
        <w:pStyle w:val="ListBullet2"/>
      </w:pPr>
      <w:r w:rsidRPr="00B06E44">
        <w:t>scope of practice</w:t>
      </w:r>
    </w:p>
    <w:p w:rsidR="00000000" w:rsidRPr="00B06E44" w:rsidP="00B06E44">
      <w:pPr>
        <w:pStyle w:val="ListBullet2"/>
      </w:pPr>
      <w:r w:rsidRPr="00B06E44">
        <w:t>practitioner and patient boundaries:</w:t>
      </w:r>
    </w:p>
    <w:p w:rsidR="00000000" w:rsidRPr="00B06E44" w:rsidP="00B06E44">
      <w:pPr>
        <w:pStyle w:val="ListBullet3"/>
      </w:pPr>
      <w:r w:rsidRPr="00B06E44">
        <w:t>responsibilities</w:t>
      </w:r>
    </w:p>
    <w:p w:rsidR="00000000" w:rsidRPr="00B06E44" w:rsidP="00B06E44">
      <w:pPr>
        <w:pStyle w:val="ListBullet3"/>
      </w:pPr>
      <w:r w:rsidRPr="00B06E44">
        <w:t>limitations</w:t>
      </w:r>
    </w:p>
    <w:p w:rsidR="00000000" w:rsidRPr="00B06E44" w:rsidP="00B06E44">
      <w:pPr>
        <w:pStyle w:val="ListBullet2"/>
      </w:pPr>
      <w:r w:rsidRPr="00B06E44">
        <w:t>National Safety and Quality Health Service (NSQHS) Standards</w:t>
      </w:r>
    </w:p>
    <w:p w:rsidR="00000000" w:rsidRPr="00B06E44" w:rsidP="00B06E44">
      <w:pPr>
        <w:pStyle w:val="ListBullet"/>
      </w:pPr>
      <w:r w:rsidRPr="00B06E44">
        <w:t>techniques for assessing and interpreting vital signs</w:t>
      </w:r>
    </w:p>
    <w:p w:rsidR="00000000" w:rsidRPr="00B06E44" w:rsidP="00B06E44">
      <w:pPr>
        <w:pStyle w:val="ListBullet"/>
      </w:pPr>
      <w:r w:rsidRPr="00B06E44">
        <w:t>methods of obtaining and documenting patient medical history for provision to receiving health facility workers including:</w:t>
      </w:r>
    </w:p>
    <w:p w:rsidR="00000000" w:rsidRPr="00B06E44" w:rsidP="00B06E44">
      <w:pPr>
        <w:pStyle w:val="ListBullet2"/>
      </w:pPr>
      <w:r w:rsidRPr="00B06E44">
        <w:t>pre-existing conditions</w:t>
      </w:r>
    </w:p>
    <w:p w:rsidR="00000000" w:rsidRPr="00B06E44" w:rsidP="00B06E44">
      <w:pPr>
        <w:pStyle w:val="ListBullet2"/>
      </w:pPr>
      <w:r w:rsidRPr="00B06E44">
        <w:t>allergies</w:t>
      </w:r>
    </w:p>
    <w:p w:rsidR="00000000" w:rsidRPr="00B06E44" w:rsidP="00B06E44">
      <w:pPr>
        <w:pStyle w:val="ListBullet2"/>
      </w:pPr>
      <w:r w:rsidRPr="00B06E44">
        <w:t>social and emotional wellbeing</w:t>
      </w:r>
    </w:p>
    <w:p w:rsidR="00000000" w:rsidRPr="00B06E44" w:rsidP="00B06E44">
      <w:pPr>
        <w:pStyle w:val="ListBullet2"/>
      </w:pPr>
      <w:r w:rsidRPr="00B06E44">
        <w:t xml:space="preserve">current medication or treatment plans </w:t>
      </w:r>
    </w:p>
    <w:p w:rsidR="00000000" w:rsidRPr="00B06E44" w:rsidP="00B06E44">
      <w:pPr>
        <w:pStyle w:val="ListBullet"/>
      </w:pPr>
      <w:r w:rsidRPr="00B06E44">
        <w:t>components of and techniques used for primary survey and secondary survey</w:t>
      </w:r>
    </w:p>
    <w:p w:rsidR="00000000" w:rsidRPr="00B06E44" w:rsidP="00B06E44">
      <w:pPr>
        <w:pStyle w:val="ListBullet"/>
      </w:pPr>
      <w:r w:rsidRPr="00B06E44">
        <w:t>variations from normal functioning of body systems</w:t>
      </w:r>
    </w:p>
    <w:p w:rsidR="00000000" w:rsidRPr="00B06E44" w:rsidP="00B06E44">
      <w:pPr>
        <w:pStyle w:val="ListBullet"/>
      </w:pPr>
      <w:r w:rsidRPr="00B06E44">
        <w:t>procedures and equipment to be used within established clinical guidelines and protocols for:</w:t>
      </w:r>
    </w:p>
    <w:p w:rsidR="00000000" w:rsidRPr="00B06E44" w:rsidP="00B06E44">
      <w:pPr>
        <w:pStyle w:val="ListBullet2"/>
      </w:pPr>
      <w:r w:rsidRPr="00B06E44">
        <w:t>advanced life support assistance</w:t>
      </w:r>
    </w:p>
    <w:p w:rsidR="00000000" w:rsidRPr="00B06E44" w:rsidP="00B06E44">
      <w:pPr>
        <w:pStyle w:val="ListBullet2"/>
      </w:pPr>
      <w:r w:rsidRPr="00B06E44">
        <w:t>adv</w:t>
      </w:r>
      <w:r w:rsidRPr="00B06E44">
        <w:t>anced resuscitation assistance</w:t>
      </w:r>
    </w:p>
    <w:p w:rsidR="00000000" w:rsidRPr="00B06E44" w:rsidP="00B06E44">
      <w:pPr>
        <w:pStyle w:val="ListBullet"/>
      </w:pPr>
      <w:r w:rsidRPr="00B06E44">
        <w:t>critical thinking and diagnostic reasoning techniques and processes for:</w:t>
      </w:r>
    </w:p>
    <w:p w:rsidR="00000000" w:rsidRPr="00B06E44" w:rsidP="00B06E44">
      <w:pPr>
        <w:pStyle w:val="ListBullet2"/>
      </w:pPr>
      <w:r w:rsidRPr="00B06E44">
        <w:t>diagnostic reasoning in the clinical setting</w:t>
      </w:r>
    </w:p>
    <w:p w:rsidR="00000000" w:rsidRPr="00B06E44" w:rsidP="00B06E44">
      <w:pPr>
        <w:pStyle w:val="ListBullet2"/>
      </w:pPr>
      <w:r w:rsidRPr="00B06E44">
        <w:t>identification of key problems and issues</w:t>
      </w:r>
    </w:p>
    <w:p w:rsidR="00000000" w:rsidRPr="00B06E44" w:rsidP="00B06E44">
      <w:pPr>
        <w:pStyle w:val="ListBullet2"/>
      </w:pPr>
      <w:r w:rsidRPr="00B06E44">
        <w:t>risks involved in responding to patient needs</w:t>
      </w:r>
    </w:p>
    <w:p w:rsidR="00000000" w:rsidRPr="00B06E44" w:rsidP="00B06E44">
      <w:pPr>
        <w:pStyle w:val="ListBullet"/>
      </w:pPr>
      <w:r w:rsidRPr="00B06E44">
        <w:t xml:space="preserve">pathophysiology </w:t>
      </w:r>
      <w:r w:rsidRPr="00B06E44">
        <w:t>of common presentations including:</w:t>
      </w:r>
    </w:p>
    <w:p w:rsidR="00000000" w:rsidRPr="00B06E44" w:rsidP="00B06E44">
      <w:pPr>
        <w:pStyle w:val="ListBullet2"/>
      </w:pPr>
      <w:r w:rsidRPr="00B06E44">
        <w:t>burns</w:t>
      </w:r>
    </w:p>
    <w:p w:rsidR="00000000" w:rsidRPr="00B06E44" w:rsidP="00B06E44">
      <w:pPr>
        <w:pStyle w:val="ListBullet2"/>
      </w:pPr>
      <w:r w:rsidRPr="00B06E44">
        <w:t>trauma</w:t>
      </w:r>
    </w:p>
    <w:p w:rsidR="00000000" w:rsidRPr="00B06E44" w:rsidP="00B06E44">
      <w:pPr>
        <w:pStyle w:val="ListBullet2"/>
      </w:pPr>
      <w:r w:rsidRPr="00B06E44">
        <w:t>cardiovascular emergencies</w:t>
      </w:r>
    </w:p>
    <w:p w:rsidR="00000000" w:rsidRPr="00B06E44" w:rsidP="00B06E44">
      <w:pPr>
        <w:pStyle w:val="ListBullet2"/>
      </w:pPr>
      <w:r w:rsidRPr="00B06E44">
        <w:t>respiratory disorders including:</w:t>
      </w:r>
    </w:p>
    <w:p w:rsidR="00000000" w:rsidRPr="00B06E44" w:rsidP="00B06E44">
      <w:pPr>
        <w:pStyle w:val="ListBullet3"/>
      </w:pPr>
      <w:r w:rsidRPr="00B06E44">
        <w:t xml:space="preserve">asthma </w:t>
      </w:r>
    </w:p>
    <w:p w:rsidR="00000000" w:rsidRPr="00B06E44" w:rsidP="00B06E44">
      <w:pPr>
        <w:pStyle w:val="ListBullet2"/>
      </w:pPr>
      <w:r w:rsidRPr="00B06E44">
        <w:t>common environmental emergencies:</w:t>
      </w:r>
    </w:p>
    <w:p w:rsidR="00000000" w:rsidRPr="00B06E44" w:rsidP="00B06E44">
      <w:pPr>
        <w:pStyle w:val="ListBullet3"/>
      </w:pPr>
      <w:r w:rsidRPr="00B06E44">
        <w:t>toxic or industrial chemicals</w:t>
      </w:r>
    </w:p>
    <w:p w:rsidR="00000000" w:rsidRPr="00B06E44" w:rsidP="00B06E44">
      <w:pPr>
        <w:pStyle w:val="ListBullet3"/>
      </w:pPr>
      <w:r w:rsidRPr="00B06E44">
        <w:t>heat stress</w:t>
      </w:r>
    </w:p>
    <w:p w:rsidR="00000000" w:rsidRPr="00B06E44" w:rsidP="00B06E44">
      <w:pPr>
        <w:pStyle w:val="ListBullet3"/>
      </w:pPr>
      <w:r w:rsidRPr="00B06E44">
        <w:t xml:space="preserve">exposure to cold </w:t>
      </w:r>
    </w:p>
    <w:p w:rsidR="00000000" w:rsidRPr="00B06E44" w:rsidP="00B06E44">
      <w:pPr>
        <w:pStyle w:val="ListBullet2"/>
      </w:pPr>
      <w:r w:rsidRPr="00B06E44">
        <w:t xml:space="preserve">neurovascular </w:t>
      </w:r>
    </w:p>
    <w:p w:rsidR="00000000" w:rsidRPr="00B06E44" w:rsidP="00B06E44">
      <w:pPr>
        <w:pStyle w:val="ListBullet2"/>
      </w:pPr>
      <w:r w:rsidRPr="00B06E44">
        <w:t>digestive and endocrine system including:</w:t>
      </w:r>
    </w:p>
    <w:p w:rsidR="00000000" w:rsidRPr="00B06E44" w:rsidP="00B06E44">
      <w:pPr>
        <w:pStyle w:val="ListBullet3"/>
      </w:pPr>
      <w:r w:rsidRPr="00B06E44">
        <w:t xml:space="preserve">diabetes </w:t>
      </w:r>
    </w:p>
    <w:p w:rsidR="00000000" w:rsidRPr="00B06E44" w:rsidP="00B06E44">
      <w:pPr>
        <w:pStyle w:val="ListBullet2"/>
      </w:pPr>
      <w:r w:rsidRPr="00B06E44">
        <w:t>urinary and reproductive issues</w:t>
      </w:r>
    </w:p>
    <w:p w:rsidR="00000000" w:rsidRPr="00B06E44" w:rsidP="00B06E44">
      <w:pPr>
        <w:pStyle w:val="ListBullet3"/>
      </w:pPr>
      <w:r w:rsidRPr="00B06E44">
        <w:t>abdominal pain</w:t>
      </w:r>
    </w:p>
    <w:p w:rsidR="00000000" w:rsidRPr="00B06E44" w:rsidP="00B06E44">
      <w:pPr>
        <w:pStyle w:val="ListBullet3"/>
      </w:pPr>
      <w:r w:rsidRPr="00B06E44">
        <w:t>stages of labour – pre and post-delivery emergencies</w:t>
      </w:r>
    </w:p>
    <w:p w:rsidR="00000000" w:rsidRPr="00B06E44" w:rsidP="00B06E44">
      <w:pPr>
        <w:pStyle w:val="ListBullet2"/>
      </w:pPr>
      <w:r w:rsidRPr="00B06E44">
        <w:t>musculo-skeletal injury</w:t>
      </w:r>
    </w:p>
    <w:p w:rsidR="00000000" w:rsidRPr="00B06E44" w:rsidP="00B06E44">
      <w:pPr>
        <w:pStyle w:val="ListBullet"/>
      </w:pPr>
      <w:r w:rsidRPr="00B06E44">
        <w:t>mental illness:</w:t>
      </w:r>
    </w:p>
    <w:p w:rsidR="00000000" w:rsidRPr="00B06E44" w:rsidP="00B06E44">
      <w:pPr>
        <w:pStyle w:val="ListBullet2"/>
      </w:pPr>
      <w:r w:rsidRPr="00B06E44">
        <w:t>definition</w:t>
      </w:r>
    </w:p>
    <w:p w:rsidR="00000000" w:rsidRPr="00B06E44" w:rsidP="00B06E44">
      <w:pPr>
        <w:pStyle w:val="ListBullet2"/>
      </w:pPr>
      <w:r w:rsidRPr="00B06E44">
        <w:t>stigma</w:t>
      </w:r>
    </w:p>
    <w:p w:rsidR="00000000" w:rsidRPr="00B06E44" w:rsidP="00B06E44">
      <w:pPr>
        <w:pStyle w:val="ListBullet2"/>
      </w:pPr>
      <w:r w:rsidRPr="00B06E44">
        <w:t>causes</w:t>
      </w:r>
    </w:p>
    <w:p w:rsidR="00000000" w:rsidRPr="00B06E44" w:rsidP="00B06E44">
      <w:pPr>
        <w:pStyle w:val="ListBullet2"/>
      </w:pPr>
      <w:r w:rsidRPr="00B06E44">
        <w:t xml:space="preserve">classifications </w:t>
      </w:r>
    </w:p>
    <w:p w:rsidR="00000000" w:rsidRPr="00B06E44" w:rsidP="00B06E44">
      <w:pPr>
        <w:pStyle w:val="ListBullet"/>
      </w:pPr>
      <w:r w:rsidRPr="00B06E44">
        <w:t>acute behavioural disturbance</w:t>
      </w:r>
    </w:p>
    <w:p w:rsidR="00000000" w:rsidRPr="00B06E44" w:rsidP="00B06E44">
      <w:pPr>
        <w:pStyle w:val="ListBullet"/>
      </w:pPr>
      <w:r w:rsidRPr="00B06E44">
        <w:t>poisoning, envenomation or overdose emergencies including:</w:t>
      </w:r>
    </w:p>
    <w:p w:rsidR="00000000" w:rsidRPr="00B06E44" w:rsidP="00B06E44">
      <w:pPr>
        <w:pStyle w:val="ListBullet2"/>
      </w:pPr>
      <w:r w:rsidRPr="00B06E44">
        <w:t>neurotoxins, myotoxins, haemotoxins</w:t>
      </w:r>
    </w:p>
    <w:p w:rsidR="00000000" w:rsidRPr="00B06E44" w:rsidP="00B06E44">
      <w:pPr>
        <w:pStyle w:val="ListBullet2"/>
      </w:pPr>
      <w:r w:rsidRPr="00B06E44">
        <w:t xml:space="preserve">illicit drugs </w:t>
      </w:r>
    </w:p>
    <w:p w:rsidR="00000000" w:rsidRPr="00B06E44" w:rsidP="00B06E44">
      <w:pPr>
        <w:pStyle w:val="ListBullet"/>
      </w:pPr>
      <w:r w:rsidRPr="00B06E44">
        <w:t>pharmacology therapy and concepts underpinning pharmacology:</w:t>
      </w:r>
    </w:p>
    <w:p w:rsidR="00000000" w:rsidRPr="00B06E44" w:rsidP="00B06E44">
      <w:pPr>
        <w:pStyle w:val="ListBullet2"/>
      </w:pPr>
      <w:r w:rsidRPr="00B06E44">
        <w:t xml:space="preserve">pharmacological agents for the management of common </w:t>
      </w:r>
      <w:r w:rsidRPr="00B06E44">
        <w:t>disorders</w:t>
      </w:r>
    </w:p>
    <w:p w:rsidR="00000000" w:rsidRPr="00B06E44" w:rsidP="00B06E44">
      <w:pPr>
        <w:pStyle w:val="ListBullet2"/>
      </w:pPr>
      <w:r w:rsidRPr="00B06E44">
        <w:t>pharmacokinetics</w:t>
      </w:r>
    </w:p>
    <w:p w:rsidR="00000000" w:rsidRPr="00B06E44" w:rsidP="00B06E44">
      <w:pPr>
        <w:pStyle w:val="ListBullet2"/>
      </w:pPr>
      <w:r w:rsidRPr="00B06E44">
        <w:t>preparation, properties, uses and indications of pharmacology</w:t>
      </w:r>
    </w:p>
    <w:p w:rsidR="00000000" w:rsidRPr="00B06E44" w:rsidP="00B06E44">
      <w:pPr>
        <w:pStyle w:val="ListBullet2"/>
      </w:pPr>
      <w:r w:rsidRPr="00B06E44">
        <w:t>pharmacology terminology</w:t>
      </w:r>
    </w:p>
    <w:p w:rsidR="00000000" w:rsidRPr="00B06E44" w:rsidP="00B06E44">
      <w:pPr>
        <w:pStyle w:val="ListBullet2"/>
      </w:pPr>
      <w:r w:rsidRPr="00B06E44">
        <w:t>pharmacodynamics-pharmacological interactions</w:t>
      </w:r>
    </w:p>
    <w:p w:rsidR="00000000" w:rsidRPr="00B06E44" w:rsidP="00B06E44">
      <w:pPr>
        <w:pStyle w:val="ListBullet2"/>
      </w:pPr>
      <w:r w:rsidRPr="00B06E44">
        <w:t>safe storage, handling and disposal of pharmacological products in accordance with the Acts and regulations pertaining to these products.</w:t>
      </w:r>
    </w:p>
    <w:p w:rsidR="00000000" w:rsidRPr="00B06E44" w:rsidP="00B06E44">
      <w:pPr>
        <w:pStyle w:val="AllowPageBreak"/>
      </w:pPr>
    </w:p>
    <w:p w:rsidR="00000000" w:rsidRPr="00B06E44" w:rsidP="00B06E44">
      <w:pPr>
        <w:pStyle w:val="Heading1"/>
      </w:pPr>
      <w:bookmarkStart w:id="10" w:name="O_1165552"/>
      <w:bookmarkEnd w:id="10"/>
      <w:r w:rsidRPr="00B06E44">
        <w:t>Assessment Conditions</w:t>
      </w:r>
    </w:p>
    <w:p w:rsidR="00000000" w:rsidRPr="00B06E44" w:rsidP="00A02306">
      <w:pPr>
        <w:pStyle w:val="BodyText"/>
      </w:pPr>
      <w:r w:rsidRPr="00B06E44">
        <w:t>Skills must have been demonstrated in the workplace or in a simulated environ</w:t>
      </w:r>
      <w:r w:rsidRPr="00B06E44">
        <w:t>ment that reflects workplace conditions.</w:t>
      </w:r>
    </w:p>
    <w:p w:rsidR="00000000" w:rsidRPr="00B06E44" w:rsidP="00A02306">
      <w:pPr>
        <w:pStyle w:val="BodyText"/>
      </w:pPr>
      <w:r w:rsidRPr="00B06E44">
        <w:t>Where simulation is used, it must reflect real working conditions by modelling industry operating conditions and contingencies, as well as using suitable facilities, equipment and resources.</w:t>
      </w:r>
    </w:p>
    <w:p w:rsidR="00000000" w:rsidRPr="00B06E44" w:rsidP="00A02306">
      <w:pPr>
        <w:pStyle w:val="BodyText"/>
      </w:pPr>
      <w:r w:rsidRPr="00B06E44">
        <w:t>The performance evidence</w:t>
      </w:r>
      <w:r w:rsidRPr="00B06E44">
        <w:t xml:space="preserve"> requirement to implement standard clinical care interventions must have been demonstrated using simulation before being demonstrated in the workplace and with members of the public.</w:t>
      </w:r>
    </w:p>
    <w:p w:rsidR="00000000" w:rsidRPr="00B06E44" w:rsidP="00A02306">
      <w:pPr>
        <w:pStyle w:val="BodyText"/>
      </w:pPr>
      <w:r w:rsidRPr="00B06E44">
        <w:t>Assessment must ensure access to:</w:t>
      </w:r>
    </w:p>
    <w:p w:rsidR="00000000" w:rsidRPr="00B06E44" w:rsidP="00B06E44">
      <w:pPr>
        <w:pStyle w:val="ListBullet"/>
      </w:pPr>
      <w:r w:rsidRPr="00B06E44">
        <w:t>use of facilities, resources and equip</w:t>
      </w:r>
      <w:r w:rsidRPr="00B06E44">
        <w:t>ment as per local governing body including:</w:t>
      </w:r>
    </w:p>
    <w:p w:rsidR="00000000" w:rsidRPr="00B06E44" w:rsidP="00B06E44">
      <w:pPr>
        <w:pStyle w:val="ListBullet2"/>
      </w:pPr>
      <w:r w:rsidRPr="00B06E44">
        <w:t>simulation with adult, child and infant manikins</w:t>
      </w:r>
    </w:p>
    <w:p w:rsidR="00000000" w:rsidRPr="00B06E44" w:rsidP="00B06E44">
      <w:pPr>
        <w:pStyle w:val="ListBullet2"/>
      </w:pPr>
      <w:r w:rsidRPr="00B06E44">
        <w:t>vital signs monitoring devices</w:t>
      </w:r>
    </w:p>
    <w:p w:rsidR="00000000" w:rsidRPr="00B06E44" w:rsidP="00B06E44">
      <w:pPr>
        <w:pStyle w:val="ListBullet2"/>
      </w:pPr>
      <w:r w:rsidRPr="00B06E44">
        <w:t>ECG recording device</w:t>
      </w:r>
    </w:p>
    <w:p w:rsidR="00000000" w:rsidRPr="00B06E44" w:rsidP="00B06E44">
      <w:pPr>
        <w:pStyle w:val="ListBullet2"/>
      </w:pPr>
      <w:r w:rsidRPr="00B06E44">
        <w:t>placebo samples of pharmacological preparations for use in simulation scenarios.</w:t>
      </w:r>
    </w:p>
    <w:p w:rsidR="00000000" w:rsidRPr="00B06E44" w:rsidP="00B06E44">
      <w:pPr>
        <w:pStyle w:val="ListBullet"/>
      </w:pPr>
      <w:r w:rsidRPr="00B06E44">
        <w:t>forms and documents for recording of patient care.</w:t>
      </w:r>
    </w:p>
    <w:p w:rsidR="00000000" w:rsidRPr="00B06E44" w:rsidP="00A02306">
      <w:pPr>
        <w:pStyle w:val="BodyText"/>
      </w:pPr>
      <w:r w:rsidRPr="00B06E44">
        <w:t>Assessors must satisfy the Standards for Registered Training Organisations’ requirements for assessors.</w:t>
      </w:r>
    </w:p>
    <w:p w:rsidR="00000000" w:rsidRPr="00B06E44" w:rsidP="00B06E44">
      <w:pPr>
        <w:pStyle w:val="Heading1"/>
      </w:pPr>
      <w:bookmarkStart w:id="11" w:name="O_1165563"/>
      <w:bookmarkEnd w:id="11"/>
      <w:r w:rsidRPr="00B06E44">
        <w:t>Links</w:t>
      </w:r>
    </w:p>
    <w:p w:rsidR="00000000" w:rsidRPr="00B06E44" w:rsidP="00A02306">
      <w:pPr>
        <w:pStyle w:val="BodyText"/>
      </w:pPr>
      <w:r w:rsidRPr="00B06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31B0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06E44" w:rsidP="00B06E44"/>
    <w:sectPr w:rsidSect="00B06E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44" w:rsidRPr="00A02306" w:rsidP="00A02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06" w:rsidP="00B06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2306" w:rsidP="00B06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02306" w:rsidP="00B06E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44" w:rsidP="00B06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2306">
      <w:t>Approved</w:t>
    </w:r>
    <w:r w:rsidR="00A023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230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2306">
      <w:rPr>
        <w:noProof/>
      </w:rPr>
      <w:t>6</w:t>
    </w:r>
    <w:r>
      <w:rPr>
        <w:noProof/>
      </w:rPr>
      <w:fldChar w:fldCharType="end"/>
    </w:r>
  </w:p>
  <w:p w:rsidR="00B06E44" w:rsidP="00B06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23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2306">
      <w:t>HumanAbility</w:t>
    </w:r>
    <w:r w:rsidR="00A02306">
      <w:fldChar w:fldCharType="end"/>
    </w:r>
  </w:p>
  <w:p w:rsidR="00B06E44" w:rsidP="00B06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E44" w:rsidRPr="00A02306" w:rsidP="00A023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306" w:rsidRPr="002D2AF8" w:rsidP="00B06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HLTOUT005 Assess and deliver standard clinical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02306" w:rsidP="00B06E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E44" w:rsidRPr="002D2AF8" w:rsidP="00B06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2306">
      <w:t>HLTOUT005 Assess and deliver standard clinical care</w:t>
    </w:r>
    <w:r w:rsidR="00A023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2306">
      <w:rPr>
        <w:noProof/>
      </w:rPr>
      <w:t>1 March 2025</w:t>
    </w:r>
    <w:r>
      <w:fldChar w:fldCharType="end"/>
    </w:r>
  </w:p>
  <w:p w:rsidR="00B06E44" w:rsidP="00B06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206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A201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C46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E44"/>
  </w:style>
  <w:style w:type="character" w:customStyle="1" w:styleId="Heading1Char">
    <w:name w:val="Heading 1 Char"/>
    <w:basedOn w:val="DefaultParagraphFont"/>
    <w:link w:val="Heading1"/>
    <w:rsid w:val="00B06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E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6E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E4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6E44"/>
    <w:rPr>
      <w:b/>
      <w:spacing w:val="0"/>
    </w:rPr>
  </w:style>
  <w:style w:type="paragraph" w:styleId="ListBullet2">
    <w:name w:val="List Bullet 2"/>
    <w:basedOn w:val="List2"/>
    <w:rsid w:val="00B06E4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06E44"/>
    <w:rPr>
      <w:i/>
    </w:rPr>
  </w:style>
  <w:style w:type="paragraph" w:customStyle="1" w:styleId="SuperHeading">
    <w:name w:val="SuperHeading"/>
    <w:basedOn w:val="Normal"/>
    <w:rsid w:val="00B06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06E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06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E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6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E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E44"/>
  </w:style>
  <w:style w:type="paragraph" w:styleId="TableofFigures">
    <w:name w:val="table of figures"/>
    <w:basedOn w:val="Normal"/>
    <w:next w:val="Normal"/>
    <w:semiHidden/>
    <w:rsid w:val="00B06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E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06E44"/>
    <w:rPr>
      <w:rFonts w:ascii="Wingdings" w:hAnsi="Wingdings"/>
    </w:rPr>
  </w:style>
  <w:style w:type="paragraph" w:customStyle="1" w:styleId="TableHeading">
    <w:name w:val="Table Heading"/>
    <w:basedOn w:val="HeadingBase"/>
    <w:rsid w:val="00B06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E44"/>
    <w:rPr>
      <w:color w:val="0033CC"/>
      <w:u w:val="none"/>
    </w:rPr>
  </w:style>
  <w:style w:type="paragraph" w:customStyle="1" w:styleId="BodyTextRight">
    <w:name w:val="Body Text Right"/>
    <w:basedOn w:val="BodyText"/>
    <w:rsid w:val="00B06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E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E44"/>
    <w:rPr>
      <w:sz w:val="32"/>
    </w:rPr>
  </w:style>
  <w:style w:type="paragraph" w:customStyle="1" w:styleId="HeadingProcedure">
    <w:name w:val="Heading Procedure"/>
    <w:basedOn w:val="HeadingBase"/>
    <w:next w:val="Normal"/>
    <w:rsid w:val="00B06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E44"/>
    <w:pPr>
      <w:spacing w:before="60" w:after="60"/>
    </w:pPr>
  </w:style>
  <w:style w:type="paragraph" w:styleId="ListContinue">
    <w:name w:val="List Continue"/>
    <w:basedOn w:val="List"/>
    <w:rsid w:val="00B06E44"/>
    <w:pPr>
      <w:ind w:firstLine="0"/>
    </w:pPr>
  </w:style>
  <w:style w:type="paragraph" w:customStyle="1" w:styleId="ListNote">
    <w:name w:val="List Note"/>
    <w:basedOn w:val="List"/>
    <w:rsid w:val="00B06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E44"/>
    <w:rPr>
      <w:rFonts w:ascii="Courier New" w:hAnsi="Courier New"/>
    </w:rPr>
  </w:style>
  <w:style w:type="paragraph" w:customStyle="1" w:styleId="NoteBullet">
    <w:name w:val="Note Bullet"/>
    <w:basedOn w:val="Note"/>
    <w:rsid w:val="00B06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E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6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E44"/>
    <w:rPr>
      <w:b/>
      <w:smallCaps/>
    </w:rPr>
  </w:style>
  <w:style w:type="paragraph" w:customStyle="1" w:styleId="TableListNumber">
    <w:name w:val="Table List Number"/>
    <w:basedOn w:val="ListNumber"/>
    <w:rsid w:val="00B06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E44"/>
    <w:pPr>
      <w:numPr>
        <w:numId w:val="10"/>
      </w:numPr>
    </w:pPr>
  </w:style>
  <w:style w:type="paragraph" w:customStyle="1" w:styleId="ListAlpha2">
    <w:name w:val="List Alpha 2"/>
    <w:basedOn w:val="List2"/>
    <w:rsid w:val="00B06E44"/>
    <w:pPr>
      <w:numPr>
        <w:numId w:val="9"/>
      </w:numPr>
    </w:pPr>
  </w:style>
  <w:style w:type="paragraph" w:styleId="List2">
    <w:name w:val="List 2"/>
    <w:basedOn w:val="BodyText"/>
    <w:rsid w:val="00B06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E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06E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06E44"/>
    <w:pPr>
      <w:numPr>
        <w:numId w:val="5"/>
      </w:numPr>
    </w:pPr>
  </w:style>
  <w:style w:type="paragraph" w:styleId="ListContinue2">
    <w:name w:val="List Continue 2"/>
    <w:basedOn w:val="List2"/>
    <w:rsid w:val="00B06E44"/>
    <w:pPr>
      <w:ind w:firstLine="0"/>
    </w:pPr>
  </w:style>
  <w:style w:type="paragraph" w:styleId="ListContinue3">
    <w:name w:val="List Continue 3"/>
    <w:basedOn w:val="List3"/>
    <w:rsid w:val="00B06E44"/>
    <w:pPr>
      <w:ind w:left="1021" w:firstLine="0"/>
    </w:pPr>
  </w:style>
  <w:style w:type="paragraph" w:styleId="ListContinue4">
    <w:name w:val="List Continue 4"/>
    <w:basedOn w:val="List4"/>
    <w:rsid w:val="00B06E44"/>
    <w:pPr>
      <w:ind w:firstLine="0"/>
    </w:pPr>
  </w:style>
  <w:style w:type="paragraph" w:styleId="ListContinue5">
    <w:name w:val="List Continue 5"/>
    <w:basedOn w:val="List5"/>
    <w:rsid w:val="00B06E44"/>
    <w:pPr>
      <w:ind w:firstLine="0"/>
    </w:pPr>
  </w:style>
  <w:style w:type="paragraph" w:styleId="ListNumber3">
    <w:name w:val="List Number 3"/>
    <w:basedOn w:val="List3"/>
    <w:rsid w:val="00B06E44"/>
    <w:pPr>
      <w:numPr>
        <w:numId w:val="6"/>
      </w:numPr>
    </w:pPr>
  </w:style>
  <w:style w:type="paragraph" w:styleId="ListNumber4">
    <w:name w:val="List Number 4"/>
    <w:basedOn w:val="List4"/>
    <w:rsid w:val="00B06E44"/>
    <w:pPr>
      <w:numPr>
        <w:numId w:val="7"/>
      </w:numPr>
    </w:pPr>
  </w:style>
  <w:style w:type="paragraph" w:styleId="ListNumber5">
    <w:name w:val="List Number 5"/>
    <w:basedOn w:val="List5"/>
    <w:rsid w:val="00B06E44"/>
    <w:pPr>
      <w:numPr>
        <w:numId w:val="8"/>
      </w:numPr>
    </w:pPr>
  </w:style>
  <w:style w:type="paragraph" w:styleId="BlockText">
    <w:name w:val="Block Text"/>
    <w:basedOn w:val="Normal"/>
    <w:rsid w:val="00B06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E44"/>
    <w:rPr>
      <w:sz w:val="16"/>
      <w:vertAlign w:val="superscript"/>
    </w:rPr>
  </w:style>
  <w:style w:type="character" w:customStyle="1" w:styleId="Symbols">
    <w:name w:val="Symbols"/>
    <w:basedOn w:val="DefaultParagraphFont"/>
    <w:rsid w:val="00B06E44"/>
    <w:rPr>
      <w:rFonts w:ascii="Symbol" w:hAnsi="Symbol"/>
    </w:rPr>
  </w:style>
  <w:style w:type="character" w:customStyle="1" w:styleId="MenuOptions">
    <w:name w:val="Menu Options"/>
    <w:basedOn w:val="DefaultParagraphFont"/>
    <w:rsid w:val="00B06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E44"/>
    <w:rPr>
      <w:b/>
    </w:rPr>
  </w:style>
  <w:style w:type="character" w:customStyle="1" w:styleId="Underlined">
    <w:name w:val="Underlined"/>
    <w:basedOn w:val="DefaultParagraphFont"/>
    <w:rsid w:val="00B06E44"/>
    <w:rPr>
      <w:u w:val="single"/>
    </w:rPr>
  </w:style>
  <w:style w:type="paragraph" w:customStyle="1" w:styleId="TableBodyTextRight">
    <w:name w:val="Table Body Text Right"/>
    <w:basedOn w:val="TableBodyText"/>
    <w:rsid w:val="00B06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E44"/>
    <w:rPr>
      <w:sz w:val="18"/>
    </w:rPr>
  </w:style>
  <w:style w:type="paragraph" w:customStyle="1" w:styleId="BodySmallRight">
    <w:name w:val="Body Small Right"/>
    <w:basedOn w:val="BodyTextRight"/>
    <w:rsid w:val="00B06E44"/>
    <w:rPr>
      <w:sz w:val="18"/>
      <w:szCs w:val="18"/>
    </w:rPr>
  </w:style>
  <w:style w:type="paragraph" w:customStyle="1" w:styleId="MarginEdition">
    <w:name w:val="Margin Edition"/>
    <w:basedOn w:val="MarginNote"/>
    <w:rsid w:val="00B06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E44"/>
    <w:rPr>
      <w:sz w:val="2"/>
      <w:szCs w:val="2"/>
    </w:rPr>
  </w:style>
  <w:style w:type="character" w:customStyle="1" w:styleId="Small">
    <w:name w:val="Small"/>
    <w:basedOn w:val="DefaultParagraphFont"/>
    <w:rsid w:val="00B06E44"/>
    <w:rPr>
      <w:sz w:val="16"/>
    </w:rPr>
  </w:style>
  <w:style w:type="paragraph" w:customStyle="1" w:styleId="WideTable">
    <w:name w:val="Wide Table"/>
    <w:basedOn w:val="Normal"/>
    <w:rsid w:val="00B06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E44"/>
  </w:style>
  <w:style w:type="paragraph" w:styleId="Quote">
    <w:name w:val="Quote"/>
    <w:basedOn w:val="Heading1"/>
    <w:link w:val="QuoteChar"/>
    <w:qFormat/>
    <w:rsid w:val="00B06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E44"/>
    <w:pPr>
      <w:pageBreakBefore/>
    </w:pPr>
  </w:style>
  <w:style w:type="paragraph" w:customStyle="1" w:styleId="Border">
    <w:name w:val="Border"/>
    <w:basedOn w:val="Normal"/>
    <w:qFormat/>
    <w:rsid w:val="00B06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E44"/>
    <w:rPr>
      <w:u w:val="single"/>
    </w:rPr>
  </w:style>
  <w:style w:type="character" w:customStyle="1" w:styleId="BoldandItalics">
    <w:name w:val="Bold and Italics"/>
    <w:qFormat/>
    <w:rsid w:val="00B06E44"/>
    <w:rPr>
      <w:b/>
      <w:i/>
      <w:u w:val="none"/>
    </w:rPr>
  </w:style>
  <w:style w:type="paragraph" w:styleId="BalloonText">
    <w:name w:val="Balloon Text"/>
    <w:basedOn w:val="Normal"/>
    <w:link w:val="BalloonTextChar"/>
    <w:rsid w:val="00B06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E44"/>
    <w:pPr>
      <w:spacing w:before="0" w:after="0"/>
    </w:pPr>
  </w:style>
  <w:style w:type="paragraph" w:customStyle="1" w:styleId="BodyTextBold">
    <w:name w:val="Body Text Bold"/>
    <w:basedOn w:val="BodyText"/>
    <w:qFormat/>
    <w:rsid w:val="00B06E44"/>
    <w:rPr>
      <w:b/>
    </w:rPr>
  </w:style>
  <w:style w:type="character" w:styleId="Hyperlink">
    <w:name w:val="Hyperlink"/>
    <w:basedOn w:val="DefaultParagraphFont"/>
    <w:uiPriority w:val="99"/>
    <w:unhideWhenUsed/>
    <w:rsid w:val="00A02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1458</Words>
  <Characters>9728</Characters>
  <Application>Microsoft Office Word</Application>
  <DocSecurity>0</DocSecurity>
  <Lines>286</Lines>
  <Paragraphs>192</Paragraphs>
  <ScaleCrop>false</ScaleCrop>
  <Company>Author-it Software Corporation Ltd.</Company>
  <LinksUpToDate>false</LinksUpToDate>
  <CharactersWithSpaces>10994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HLTOUT005 Assess and deliver standard clinical care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