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EF9" w:rsidP="00053E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HLTOUT005 Assess and deliver standard clinical care</w:t>
      </w:r>
      <w:r>
        <w:fldChar w:fldCharType="end"/>
      </w:r>
    </w:p>
    <w:p w:rsidR="00053EF9" w:rsidP="00053EF9">
      <w:pPr>
        <w:pStyle w:val="Version"/>
        <w:sectPr w:rsidSect="00C627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627BA" w:rsidP="00C627BA">
      <w:pPr>
        <w:pStyle w:val="SuperHeading"/>
      </w:pPr>
      <w:r w:rsidRPr="00C627BA">
        <w:t>Assessment Requirements for HLTOUT005 Assess and deliver standard clinical care</w:t>
      </w:r>
    </w:p>
    <w:p w:rsidR="00000000" w:rsidRPr="00C627BA" w:rsidP="00C627BA">
      <w:pPr>
        <w:pStyle w:val="Heading1"/>
      </w:pPr>
      <w:bookmarkStart w:id="1" w:name="O_1165555"/>
      <w:bookmarkEnd w:id="1"/>
      <w:r w:rsidRPr="00C627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C62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7BA">
            <w:pPr>
              <w:pStyle w:val="BodyText"/>
              <w:rPr>
                <w:lang w:val="en-NZ"/>
              </w:rPr>
            </w:pPr>
            <w:r w:rsidRPr="00C627BA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7BA">
            <w:pPr>
              <w:pStyle w:val="BodyText"/>
              <w:rPr>
                <w:lang w:val="en-NZ"/>
              </w:rPr>
            </w:pPr>
            <w:r w:rsidRPr="00C627BA">
              <w:t>Comments</w:t>
            </w:r>
          </w:p>
        </w:tc>
      </w:tr>
      <w:tr w:rsidTr="00C62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7BA" w:rsidP="00C627BA">
            <w:pPr>
              <w:pStyle w:val="BodyText"/>
            </w:pPr>
            <w:r w:rsidRPr="00C627BA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7BA" w:rsidP="00C627BA">
            <w:pPr>
              <w:pStyle w:val="BodyText"/>
            </w:pPr>
            <w:r w:rsidRPr="00C627BA">
              <w:t>Release 2. HLTOUT005 Assess and deliver standard clinical care supersedes and is equivalent to Release 1. HLTOUT005 Assess and deliver standard clinical care.</w:t>
            </w:r>
          </w:p>
          <w:p w:rsidR="00000000" w:rsidP="00C627BA">
            <w:pPr>
              <w:pStyle w:val="BodyText"/>
              <w:rPr>
                <w:lang w:val="en-NZ"/>
              </w:rPr>
            </w:pPr>
            <w:r w:rsidRPr="00C627BA">
              <w:t>Minor changes. Mapping Info Table Notes added for superseded unit HLTAMB008 Assess and deliver st</w:t>
            </w:r>
            <w:r w:rsidRPr="00C627BA">
              <w:t>andard clinical care.</w:t>
            </w:r>
          </w:p>
        </w:tc>
      </w:tr>
      <w:tr w:rsidTr="00C62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7BA" w:rsidP="00C627BA">
            <w:pPr>
              <w:pStyle w:val="BodyText"/>
            </w:pPr>
            <w:r w:rsidRPr="00C627BA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7BA" w:rsidP="00C627BA">
            <w:pPr>
              <w:pStyle w:val="BodyText"/>
            </w:pPr>
            <w:r w:rsidRPr="00C627BA">
              <w:t>Release 1. HLTOUT005 Assess and deliver standard clinical care supersedes and is not equivalent to HLTAMB008 Assess and deliver standard clinical care.</w:t>
            </w:r>
          </w:p>
        </w:tc>
      </w:tr>
    </w:tbl>
    <w:p w:rsidR="00000000" w:rsidRPr="00C627BA" w:rsidP="00C627BA">
      <w:pPr>
        <w:pStyle w:val="BodyText"/>
      </w:pPr>
    </w:p>
    <w:p w:rsidR="00000000" w:rsidRPr="00C627BA" w:rsidP="00C627BA">
      <w:pPr>
        <w:pStyle w:val="AllowPageBreak"/>
      </w:pPr>
    </w:p>
    <w:p w:rsidR="00000000" w:rsidRPr="00C627BA" w:rsidP="00C627BA">
      <w:pPr>
        <w:pStyle w:val="Heading1"/>
      </w:pPr>
      <w:bookmarkStart w:id="2" w:name="O_1165554"/>
      <w:bookmarkEnd w:id="2"/>
      <w:r w:rsidRPr="00C627BA">
        <w:t>Performance Evidence</w:t>
      </w:r>
    </w:p>
    <w:p w:rsidR="00000000" w:rsidRPr="00C627BA" w:rsidP="00053EF9">
      <w:pPr>
        <w:pStyle w:val="BodyText"/>
      </w:pPr>
      <w:r w:rsidRPr="00C627BA">
        <w:t>Evidence of the ability to complete tasks outlined in elements and performance criteria of this unit in the context of the job role.</w:t>
      </w:r>
    </w:p>
    <w:p w:rsidR="00000000" w:rsidRPr="00C627BA" w:rsidP="00053EF9">
      <w:pPr>
        <w:pStyle w:val="BodyText"/>
      </w:pPr>
      <w:r w:rsidRPr="00C627BA">
        <w:t>There must be evidence that the candidate has:</w:t>
      </w:r>
    </w:p>
    <w:p w:rsidR="00000000" w:rsidRPr="00C627BA" w:rsidP="00C627BA">
      <w:pPr>
        <w:pStyle w:val="ListBullet"/>
      </w:pPr>
      <w:r w:rsidRPr="00C627BA">
        <w:t xml:space="preserve">performed the activities outlined in the performance criteria of this unit </w:t>
      </w:r>
      <w:r w:rsidRPr="00C627BA">
        <w:t>during a period of 160 hours work, under clinical supervision in the workplace</w:t>
      </w:r>
    </w:p>
    <w:p w:rsidR="00000000" w:rsidRPr="00C627BA" w:rsidP="00C627BA">
      <w:pPr>
        <w:pStyle w:val="ListBullet"/>
      </w:pPr>
      <w:r w:rsidRPr="00C627BA">
        <w:t>performed a clinical assessment and implemented standard care in an out-of-hospital context on at least five different patient presentations for an illness or trauma impacting h</w:t>
      </w:r>
      <w:r w:rsidRPr="00C627BA">
        <w:t>ealth status including:</w:t>
      </w:r>
    </w:p>
    <w:p w:rsidR="00000000" w:rsidRPr="00C627BA" w:rsidP="00C627BA">
      <w:pPr>
        <w:pStyle w:val="ListBullet2"/>
      </w:pPr>
      <w:r w:rsidRPr="00C627BA">
        <w:t>primary survey</w:t>
      </w:r>
    </w:p>
    <w:p w:rsidR="00000000" w:rsidRPr="00C627BA" w:rsidP="00C627BA">
      <w:pPr>
        <w:pStyle w:val="ListBullet2"/>
      </w:pPr>
      <w:r w:rsidRPr="00C627BA">
        <w:t>secondary survey</w:t>
      </w:r>
    </w:p>
    <w:p w:rsidR="00000000" w:rsidRPr="00C627BA" w:rsidP="00C627BA">
      <w:pPr>
        <w:pStyle w:val="ListBullet2"/>
      </w:pPr>
      <w:r w:rsidRPr="00C627BA">
        <w:t>planning and implementing patient management based on assessment, time-criticality and available resources</w:t>
      </w:r>
    </w:p>
    <w:p w:rsidR="00000000" w:rsidRPr="00C627BA" w:rsidP="00C627BA">
      <w:pPr>
        <w:pStyle w:val="ListBullet2"/>
      </w:pPr>
      <w:r w:rsidRPr="00C627BA">
        <w:t>monitoring patient</w:t>
      </w:r>
    </w:p>
    <w:p w:rsidR="00000000" w:rsidRPr="00C627BA" w:rsidP="00C627BA">
      <w:pPr>
        <w:pStyle w:val="ListBullet2"/>
      </w:pPr>
      <w:r w:rsidRPr="00C627BA">
        <w:t>transferring care using a systematic approach to handover</w:t>
      </w:r>
    </w:p>
    <w:p w:rsidR="00000000" w:rsidRPr="00C627BA" w:rsidP="00C627BA">
      <w:pPr>
        <w:pStyle w:val="ListBullet"/>
      </w:pPr>
      <w:r w:rsidRPr="00C627BA">
        <w:t>responded in different operational conditions or circumstances to implement the following standard clinical care interventions according to established clinical guidelines and protocols:</w:t>
      </w:r>
    </w:p>
    <w:p w:rsidR="00000000" w:rsidRPr="00C627BA" w:rsidP="00C627BA">
      <w:pPr>
        <w:pStyle w:val="ListBullet2"/>
      </w:pPr>
      <w:r w:rsidRPr="00C627BA">
        <w:t>airway management for a patient</w:t>
      </w:r>
    </w:p>
    <w:p w:rsidR="00000000" w:rsidRPr="00C627BA" w:rsidP="00C627BA">
      <w:pPr>
        <w:pStyle w:val="ListBullet2"/>
      </w:pPr>
      <w:r w:rsidRPr="00C627BA">
        <w:t>cardiac monitoring through limb lead</w:t>
      </w:r>
      <w:r w:rsidRPr="00C627BA">
        <w:t>s only</w:t>
      </w:r>
    </w:p>
    <w:p w:rsidR="00000000" w:rsidRPr="00C627BA" w:rsidP="00C627BA">
      <w:pPr>
        <w:pStyle w:val="ListBullet2"/>
      </w:pPr>
      <w:r w:rsidRPr="00C627BA">
        <w:t>cardiac rhythm evaluation as shockable or non-shockable</w:t>
      </w:r>
    </w:p>
    <w:p w:rsidR="00000000" w:rsidRPr="00C627BA" w:rsidP="00C627BA">
      <w:pPr>
        <w:pStyle w:val="ListBullet2"/>
      </w:pPr>
      <w:r w:rsidRPr="00C627BA">
        <w:t>manual defibrillation on a simulation manikin according to established clinical guidelines and protocols</w:t>
      </w:r>
    </w:p>
    <w:p w:rsidR="00000000" w:rsidRPr="00C627BA" w:rsidP="00C627BA">
      <w:pPr>
        <w:pStyle w:val="ListBullet2"/>
      </w:pPr>
      <w:r w:rsidRPr="00C627BA">
        <w:t>administering and responding to the effects of pharmacological therapy to treat and mana</w:t>
      </w:r>
      <w:r w:rsidRPr="00C627BA">
        <w:t>ge patient’s illness or condition</w:t>
      </w:r>
    </w:p>
    <w:p w:rsidR="00000000" w:rsidRPr="00C627BA" w:rsidP="00C627BA">
      <w:pPr>
        <w:pStyle w:val="ListBullet"/>
      </w:pPr>
      <w:r w:rsidRPr="00C627BA">
        <w:t>performed basic life support and be able to assist in advanced life support on an adult, child and infant simulation manikin according to established clinical guidelines and protocols.</w:t>
      </w:r>
    </w:p>
    <w:p w:rsidR="00000000" w:rsidRPr="00C627BA" w:rsidP="00C627BA">
      <w:pPr>
        <w:pStyle w:val="AllowPageBreak"/>
      </w:pPr>
    </w:p>
    <w:p w:rsidR="00000000" w:rsidRPr="00C627BA" w:rsidP="00C627BA">
      <w:pPr>
        <w:pStyle w:val="Heading1"/>
      </w:pPr>
      <w:bookmarkStart w:id="3" w:name="O_1165553"/>
      <w:bookmarkEnd w:id="3"/>
      <w:r w:rsidRPr="00C627BA">
        <w:t>Knowledge Evidenc</w:t>
      </w:r>
      <w:r w:rsidRPr="00C627BA">
        <w:t>e</w:t>
      </w:r>
    </w:p>
    <w:p w:rsidR="00000000" w:rsidRPr="00C627BA" w:rsidP="00053EF9">
      <w:pPr>
        <w:pStyle w:val="BodyText"/>
      </w:pPr>
      <w:r w:rsidRPr="00C627BA">
        <w:t>Demonstrated knowledge required to complete the tasks outlined in elements and performance criteria of this unit:</w:t>
      </w:r>
    </w:p>
    <w:p w:rsidR="00000000" w:rsidRPr="00C627BA" w:rsidP="00C627BA">
      <w:pPr>
        <w:pStyle w:val="ListBullet"/>
      </w:pPr>
      <w:r w:rsidRPr="00C627BA">
        <w:t xml:space="preserve">Commonwealth and State/Territory legal considerations for emergency health care workers working </w:t>
      </w:r>
      <w:r w:rsidRPr="00C627BA">
        <w:t>in out-of-hospital care, and how these are applied in organisations including:</w:t>
      </w:r>
    </w:p>
    <w:p w:rsidR="00000000" w:rsidRPr="00C627BA" w:rsidP="00C627BA">
      <w:pPr>
        <w:pStyle w:val="ListBullet2"/>
      </w:pPr>
      <w:r w:rsidRPr="00C627BA">
        <w:t>discrimination</w:t>
      </w:r>
    </w:p>
    <w:p w:rsidR="00000000" w:rsidRPr="00C627BA" w:rsidP="00C627BA">
      <w:pPr>
        <w:pStyle w:val="ListBullet2"/>
      </w:pPr>
      <w:r w:rsidRPr="00C627BA">
        <w:t>duty of care</w:t>
      </w:r>
    </w:p>
    <w:p w:rsidR="00000000" w:rsidRPr="00C627BA" w:rsidP="00C627BA">
      <w:pPr>
        <w:pStyle w:val="ListBullet2"/>
      </w:pPr>
      <w:r w:rsidRPr="00C627BA">
        <w:t>mandatory reporting</w:t>
      </w:r>
    </w:p>
    <w:p w:rsidR="00000000" w:rsidRPr="00C627BA" w:rsidP="00C627BA">
      <w:pPr>
        <w:pStyle w:val="ListBullet2"/>
      </w:pPr>
      <w:r w:rsidRPr="00C627BA">
        <w:t>health records and information privacy</w:t>
      </w:r>
    </w:p>
    <w:p w:rsidR="00000000" w:rsidRPr="00C627BA" w:rsidP="00C627BA">
      <w:pPr>
        <w:pStyle w:val="ListBullet2"/>
      </w:pPr>
      <w:r w:rsidRPr="00C627BA">
        <w:t>drugs and poisons</w:t>
      </w:r>
    </w:p>
    <w:p w:rsidR="00000000" w:rsidRPr="00C627BA" w:rsidP="00C627BA">
      <w:pPr>
        <w:pStyle w:val="ListBullet2"/>
      </w:pPr>
      <w:r w:rsidRPr="00C627BA">
        <w:t>informed consent</w:t>
      </w:r>
    </w:p>
    <w:p w:rsidR="00000000" w:rsidRPr="00C627BA" w:rsidP="00C627BA">
      <w:pPr>
        <w:pStyle w:val="ListBullet2"/>
      </w:pPr>
      <w:r w:rsidRPr="00C627BA">
        <w:t>work health and safety</w:t>
      </w:r>
    </w:p>
    <w:p w:rsidR="00000000" w:rsidRPr="00C627BA" w:rsidP="00C627BA">
      <w:pPr>
        <w:pStyle w:val="ListBullet"/>
      </w:pPr>
      <w:r w:rsidRPr="00C627BA">
        <w:t>organisational policies and pr</w:t>
      </w:r>
      <w:r w:rsidRPr="00C627BA">
        <w:t>ocedures and established clinical guidelines and protocols for patient care and emergency equipment</w:t>
      </w:r>
    </w:p>
    <w:p w:rsidR="00000000" w:rsidRPr="00C627BA" w:rsidP="00C627BA">
      <w:pPr>
        <w:pStyle w:val="ListBullet"/>
      </w:pPr>
      <w:r w:rsidRPr="00C627BA">
        <w:t>ethical considerations for emergency health care workers working in out-of-hospital care, and how these are applied in organisations including:</w:t>
      </w:r>
    </w:p>
    <w:p w:rsidR="00000000" w:rsidRPr="00C627BA" w:rsidP="00C627BA">
      <w:pPr>
        <w:pStyle w:val="ListBullet2"/>
      </w:pPr>
      <w:r w:rsidRPr="00C627BA">
        <w:t>scope of pr</w:t>
      </w:r>
      <w:r w:rsidRPr="00C627BA">
        <w:t>actice</w:t>
      </w:r>
    </w:p>
    <w:p w:rsidR="00000000" w:rsidRPr="00C627BA" w:rsidP="00C627BA">
      <w:pPr>
        <w:pStyle w:val="ListBullet2"/>
      </w:pPr>
      <w:r w:rsidRPr="00C627BA">
        <w:t>practitioner and patient boundaries:</w:t>
      </w:r>
    </w:p>
    <w:p w:rsidR="00000000" w:rsidRPr="00C627BA" w:rsidP="00C627BA">
      <w:pPr>
        <w:pStyle w:val="ListBullet3"/>
      </w:pPr>
      <w:r w:rsidRPr="00C627BA">
        <w:t>responsibilities</w:t>
      </w:r>
    </w:p>
    <w:p w:rsidR="00000000" w:rsidRPr="00C627BA" w:rsidP="00C627BA">
      <w:pPr>
        <w:pStyle w:val="ListBullet3"/>
      </w:pPr>
      <w:r w:rsidRPr="00C627BA">
        <w:t>limitations</w:t>
      </w:r>
    </w:p>
    <w:p w:rsidR="00000000" w:rsidRPr="00C627BA" w:rsidP="00C627BA">
      <w:pPr>
        <w:pStyle w:val="ListBullet2"/>
      </w:pPr>
      <w:r w:rsidRPr="00C627BA">
        <w:t>National Safety and Quality Health Service (NSQHS) Standards</w:t>
      </w:r>
    </w:p>
    <w:p w:rsidR="00000000" w:rsidRPr="00C627BA" w:rsidP="00C627BA">
      <w:pPr>
        <w:pStyle w:val="ListBullet"/>
      </w:pPr>
      <w:r w:rsidRPr="00C627BA">
        <w:t>techniques for assessing and interpreting vital signs</w:t>
      </w:r>
    </w:p>
    <w:p w:rsidR="00000000" w:rsidRPr="00C627BA" w:rsidP="00C627BA">
      <w:pPr>
        <w:pStyle w:val="ListBullet"/>
      </w:pPr>
      <w:r w:rsidRPr="00C627BA">
        <w:t>methods of obtaining and documenting patient medical history for provision to receiving health facility workers including:</w:t>
      </w:r>
    </w:p>
    <w:p w:rsidR="00000000" w:rsidRPr="00C627BA" w:rsidP="00C627BA">
      <w:pPr>
        <w:pStyle w:val="ListBullet2"/>
      </w:pPr>
      <w:r w:rsidRPr="00C627BA">
        <w:t>pre-existing conditions</w:t>
      </w:r>
    </w:p>
    <w:p w:rsidR="00000000" w:rsidRPr="00C627BA" w:rsidP="00C627BA">
      <w:pPr>
        <w:pStyle w:val="ListBullet2"/>
      </w:pPr>
      <w:r w:rsidRPr="00C627BA">
        <w:t>allergies</w:t>
      </w:r>
    </w:p>
    <w:p w:rsidR="00000000" w:rsidRPr="00C627BA" w:rsidP="00C627BA">
      <w:pPr>
        <w:pStyle w:val="ListBullet2"/>
      </w:pPr>
      <w:r w:rsidRPr="00C627BA">
        <w:t>social and emotional wellbeing</w:t>
      </w:r>
    </w:p>
    <w:p w:rsidR="00000000" w:rsidRPr="00C627BA" w:rsidP="00C627BA">
      <w:pPr>
        <w:pStyle w:val="ListBullet2"/>
      </w:pPr>
      <w:r w:rsidRPr="00C627BA">
        <w:t xml:space="preserve">current medication or treatment plans </w:t>
      </w:r>
    </w:p>
    <w:p w:rsidR="00000000" w:rsidRPr="00C627BA" w:rsidP="00C627BA">
      <w:pPr>
        <w:pStyle w:val="ListBullet"/>
      </w:pPr>
      <w:r w:rsidRPr="00C627BA">
        <w:t>components of and techniques used for primary survey and secondary survey</w:t>
      </w:r>
    </w:p>
    <w:p w:rsidR="00000000" w:rsidRPr="00C627BA" w:rsidP="00C627BA">
      <w:pPr>
        <w:pStyle w:val="ListBullet"/>
      </w:pPr>
      <w:r w:rsidRPr="00C627BA">
        <w:t>variations from normal functioning of body systems</w:t>
      </w:r>
    </w:p>
    <w:p w:rsidR="00000000" w:rsidRPr="00C627BA" w:rsidP="00C627BA">
      <w:pPr>
        <w:pStyle w:val="ListBullet"/>
      </w:pPr>
      <w:r w:rsidRPr="00C627BA">
        <w:t>procedures and equipment to be used within established clinical guidelines and protocols for:</w:t>
      </w:r>
    </w:p>
    <w:p w:rsidR="00000000" w:rsidRPr="00C627BA" w:rsidP="00C627BA">
      <w:pPr>
        <w:pStyle w:val="ListBullet2"/>
      </w:pPr>
      <w:r w:rsidRPr="00C627BA">
        <w:t>advanced life support assistance</w:t>
      </w:r>
    </w:p>
    <w:p w:rsidR="00000000" w:rsidRPr="00C627BA" w:rsidP="00C627BA">
      <w:pPr>
        <w:pStyle w:val="ListBullet2"/>
      </w:pPr>
      <w:r w:rsidRPr="00C627BA">
        <w:t>adv</w:t>
      </w:r>
      <w:r w:rsidRPr="00C627BA">
        <w:t>anced resuscitation assistance</w:t>
      </w:r>
    </w:p>
    <w:p w:rsidR="00000000" w:rsidRPr="00C627BA" w:rsidP="00C627BA">
      <w:pPr>
        <w:pStyle w:val="ListBullet"/>
      </w:pPr>
      <w:r w:rsidRPr="00C627BA">
        <w:t>critical thinking and diagnostic reasoning techniques and processes for:</w:t>
      </w:r>
    </w:p>
    <w:p w:rsidR="00000000" w:rsidRPr="00C627BA" w:rsidP="00C627BA">
      <w:pPr>
        <w:pStyle w:val="ListBullet2"/>
      </w:pPr>
      <w:r w:rsidRPr="00C627BA">
        <w:t>diagnostic reasoning in the clinical setting</w:t>
      </w:r>
    </w:p>
    <w:p w:rsidR="00000000" w:rsidRPr="00C627BA" w:rsidP="00C627BA">
      <w:pPr>
        <w:pStyle w:val="ListBullet2"/>
      </w:pPr>
      <w:r w:rsidRPr="00C627BA">
        <w:t>identification of key problems and issues</w:t>
      </w:r>
    </w:p>
    <w:p w:rsidR="00000000" w:rsidRPr="00C627BA" w:rsidP="00C627BA">
      <w:pPr>
        <w:pStyle w:val="ListBullet2"/>
      </w:pPr>
      <w:r w:rsidRPr="00C627BA">
        <w:t>risks involved in responding to patient needs</w:t>
      </w:r>
    </w:p>
    <w:p w:rsidR="00000000" w:rsidRPr="00C627BA" w:rsidP="00C627BA">
      <w:pPr>
        <w:pStyle w:val="ListBullet"/>
      </w:pPr>
      <w:r w:rsidRPr="00C627BA">
        <w:t xml:space="preserve">pathophysiology </w:t>
      </w:r>
      <w:r w:rsidRPr="00C627BA">
        <w:t>of common presentations including:</w:t>
      </w:r>
    </w:p>
    <w:p w:rsidR="00000000" w:rsidRPr="00C627BA" w:rsidP="00C627BA">
      <w:pPr>
        <w:pStyle w:val="ListBullet2"/>
      </w:pPr>
      <w:r w:rsidRPr="00C627BA">
        <w:t>burns</w:t>
      </w:r>
    </w:p>
    <w:p w:rsidR="00000000" w:rsidRPr="00C627BA" w:rsidP="00C627BA">
      <w:pPr>
        <w:pStyle w:val="ListBullet2"/>
      </w:pPr>
      <w:r w:rsidRPr="00C627BA">
        <w:t>trauma</w:t>
      </w:r>
    </w:p>
    <w:p w:rsidR="00000000" w:rsidRPr="00C627BA" w:rsidP="00C627BA">
      <w:pPr>
        <w:pStyle w:val="ListBullet2"/>
      </w:pPr>
      <w:r w:rsidRPr="00C627BA">
        <w:t>cardiovascular emergencies</w:t>
      </w:r>
    </w:p>
    <w:p w:rsidR="00000000" w:rsidRPr="00C627BA" w:rsidP="00C627BA">
      <w:pPr>
        <w:pStyle w:val="ListBullet2"/>
      </w:pPr>
      <w:r w:rsidRPr="00C627BA">
        <w:t>respiratory disorders including:</w:t>
      </w:r>
    </w:p>
    <w:p w:rsidR="00000000" w:rsidRPr="00C627BA" w:rsidP="00C627BA">
      <w:pPr>
        <w:pStyle w:val="ListBullet3"/>
      </w:pPr>
      <w:r w:rsidRPr="00C627BA">
        <w:t xml:space="preserve">asthma </w:t>
      </w:r>
    </w:p>
    <w:p w:rsidR="00000000" w:rsidRPr="00C627BA" w:rsidP="00C627BA">
      <w:pPr>
        <w:pStyle w:val="ListBullet2"/>
      </w:pPr>
      <w:r w:rsidRPr="00C627BA">
        <w:t>common environmental emergencies:</w:t>
      </w:r>
    </w:p>
    <w:p w:rsidR="00000000" w:rsidRPr="00C627BA" w:rsidP="00C627BA">
      <w:pPr>
        <w:pStyle w:val="ListBullet3"/>
      </w:pPr>
      <w:r w:rsidRPr="00C627BA">
        <w:t>toxic or industrial chemicals</w:t>
      </w:r>
    </w:p>
    <w:p w:rsidR="00000000" w:rsidRPr="00C627BA" w:rsidP="00C627BA">
      <w:pPr>
        <w:pStyle w:val="ListBullet3"/>
      </w:pPr>
      <w:r w:rsidRPr="00C627BA">
        <w:t>heat stress</w:t>
      </w:r>
    </w:p>
    <w:p w:rsidR="00000000" w:rsidRPr="00C627BA" w:rsidP="00C627BA">
      <w:pPr>
        <w:pStyle w:val="ListBullet3"/>
      </w:pPr>
      <w:r w:rsidRPr="00C627BA">
        <w:t xml:space="preserve">exposure to cold </w:t>
      </w:r>
    </w:p>
    <w:p w:rsidR="00000000" w:rsidRPr="00C627BA" w:rsidP="00C627BA">
      <w:pPr>
        <w:pStyle w:val="ListBullet2"/>
      </w:pPr>
      <w:r w:rsidRPr="00C627BA">
        <w:t xml:space="preserve">neurovascular </w:t>
      </w:r>
    </w:p>
    <w:p w:rsidR="00000000" w:rsidRPr="00C627BA" w:rsidP="00C627BA">
      <w:pPr>
        <w:pStyle w:val="ListBullet2"/>
      </w:pPr>
      <w:r w:rsidRPr="00C627BA">
        <w:t>digestive and endocrine system including:</w:t>
      </w:r>
    </w:p>
    <w:p w:rsidR="00000000" w:rsidRPr="00C627BA" w:rsidP="00C627BA">
      <w:pPr>
        <w:pStyle w:val="ListBullet3"/>
      </w:pPr>
      <w:r w:rsidRPr="00C627BA">
        <w:t xml:space="preserve">diabetes </w:t>
      </w:r>
    </w:p>
    <w:p w:rsidR="00000000" w:rsidRPr="00C627BA" w:rsidP="00C627BA">
      <w:pPr>
        <w:pStyle w:val="ListBullet2"/>
      </w:pPr>
      <w:r w:rsidRPr="00C627BA">
        <w:t>urinary and reproductive issues</w:t>
      </w:r>
    </w:p>
    <w:p w:rsidR="00000000" w:rsidRPr="00C627BA" w:rsidP="00C627BA">
      <w:pPr>
        <w:pStyle w:val="ListBullet3"/>
      </w:pPr>
      <w:r w:rsidRPr="00C627BA">
        <w:t>abdominal pain</w:t>
      </w:r>
    </w:p>
    <w:p w:rsidR="00000000" w:rsidRPr="00C627BA" w:rsidP="00C627BA">
      <w:pPr>
        <w:pStyle w:val="ListBullet3"/>
      </w:pPr>
      <w:r w:rsidRPr="00C627BA">
        <w:t>stages of labour – pre and post-delivery emergencies</w:t>
      </w:r>
    </w:p>
    <w:p w:rsidR="00000000" w:rsidRPr="00C627BA" w:rsidP="00C627BA">
      <w:pPr>
        <w:pStyle w:val="ListBullet2"/>
      </w:pPr>
      <w:r w:rsidRPr="00C627BA">
        <w:t>musculo-skeletal injury</w:t>
      </w:r>
    </w:p>
    <w:p w:rsidR="00000000" w:rsidRPr="00C627BA" w:rsidP="00C627BA">
      <w:pPr>
        <w:pStyle w:val="ListBullet"/>
      </w:pPr>
      <w:r w:rsidRPr="00C627BA">
        <w:t>mental illness:</w:t>
      </w:r>
    </w:p>
    <w:p w:rsidR="00000000" w:rsidRPr="00C627BA" w:rsidP="00C627BA">
      <w:pPr>
        <w:pStyle w:val="ListBullet2"/>
      </w:pPr>
      <w:r w:rsidRPr="00C627BA">
        <w:t>definition</w:t>
      </w:r>
    </w:p>
    <w:p w:rsidR="00000000" w:rsidRPr="00C627BA" w:rsidP="00C627BA">
      <w:pPr>
        <w:pStyle w:val="ListBullet2"/>
      </w:pPr>
      <w:r w:rsidRPr="00C627BA">
        <w:t>stigma</w:t>
      </w:r>
    </w:p>
    <w:p w:rsidR="00000000" w:rsidRPr="00C627BA" w:rsidP="00C627BA">
      <w:pPr>
        <w:pStyle w:val="ListBullet2"/>
      </w:pPr>
      <w:r w:rsidRPr="00C627BA">
        <w:t>causes</w:t>
      </w:r>
    </w:p>
    <w:p w:rsidR="00000000" w:rsidRPr="00C627BA" w:rsidP="00C627BA">
      <w:pPr>
        <w:pStyle w:val="ListBullet2"/>
      </w:pPr>
      <w:r w:rsidRPr="00C627BA">
        <w:t xml:space="preserve">classifications </w:t>
      </w:r>
    </w:p>
    <w:p w:rsidR="00000000" w:rsidRPr="00C627BA" w:rsidP="00C627BA">
      <w:pPr>
        <w:pStyle w:val="ListBullet"/>
      </w:pPr>
      <w:r w:rsidRPr="00C627BA">
        <w:t>acute behavioural disturbance</w:t>
      </w:r>
    </w:p>
    <w:p w:rsidR="00000000" w:rsidRPr="00C627BA" w:rsidP="00C627BA">
      <w:pPr>
        <w:pStyle w:val="ListBullet"/>
      </w:pPr>
      <w:r w:rsidRPr="00C627BA">
        <w:t>poisoning, envenomation or overdose emergencies including:</w:t>
      </w:r>
    </w:p>
    <w:p w:rsidR="00000000" w:rsidRPr="00C627BA" w:rsidP="00C627BA">
      <w:pPr>
        <w:pStyle w:val="ListBullet2"/>
      </w:pPr>
      <w:r w:rsidRPr="00C627BA">
        <w:t>neurotoxins, myotoxins, haemotoxins</w:t>
      </w:r>
    </w:p>
    <w:p w:rsidR="00000000" w:rsidRPr="00C627BA" w:rsidP="00C627BA">
      <w:pPr>
        <w:pStyle w:val="ListBullet2"/>
      </w:pPr>
      <w:r w:rsidRPr="00C627BA">
        <w:t xml:space="preserve">illicit drugs </w:t>
      </w:r>
    </w:p>
    <w:p w:rsidR="00000000" w:rsidRPr="00C627BA" w:rsidP="00C627BA">
      <w:pPr>
        <w:pStyle w:val="ListBullet"/>
      </w:pPr>
      <w:r w:rsidRPr="00C627BA">
        <w:t>pharmacology therapy and concepts underpinning pharmacology:</w:t>
      </w:r>
    </w:p>
    <w:p w:rsidR="00000000" w:rsidRPr="00C627BA" w:rsidP="00C627BA">
      <w:pPr>
        <w:pStyle w:val="ListBullet2"/>
      </w:pPr>
      <w:r w:rsidRPr="00C627BA">
        <w:t xml:space="preserve">pharmacological agents for the management of common </w:t>
      </w:r>
      <w:r w:rsidRPr="00C627BA">
        <w:t>disorders</w:t>
      </w:r>
    </w:p>
    <w:p w:rsidR="00000000" w:rsidRPr="00C627BA" w:rsidP="00C627BA">
      <w:pPr>
        <w:pStyle w:val="ListBullet2"/>
      </w:pPr>
      <w:r w:rsidRPr="00C627BA">
        <w:t>pharmacokinetics</w:t>
      </w:r>
    </w:p>
    <w:p w:rsidR="00000000" w:rsidRPr="00C627BA" w:rsidP="00C627BA">
      <w:pPr>
        <w:pStyle w:val="ListBullet2"/>
      </w:pPr>
      <w:r w:rsidRPr="00C627BA">
        <w:t>preparation, properties, uses and indications of pharmacology</w:t>
      </w:r>
    </w:p>
    <w:p w:rsidR="00000000" w:rsidRPr="00C627BA" w:rsidP="00C627BA">
      <w:pPr>
        <w:pStyle w:val="ListBullet2"/>
      </w:pPr>
      <w:r w:rsidRPr="00C627BA">
        <w:t>pharmacology terminology</w:t>
      </w:r>
    </w:p>
    <w:p w:rsidR="00000000" w:rsidRPr="00C627BA" w:rsidP="00C627BA">
      <w:pPr>
        <w:pStyle w:val="ListBullet2"/>
      </w:pPr>
      <w:r w:rsidRPr="00C627BA">
        <w:t>pharmacodynamics-pharmacological interactions</w:t>
      </w:r>
    </w:p>
    <w:p w:rsidR="00000000" w:rsidRPr="00C627BA" w:rsidP="00C627BA">
      <w:pPr>
        <w:pStyle w:val="ListBullet2"/>
      </w:pPr>
      <w:r w:rsidRPr="00C627BA">
        <w:t xml:space="preserve">safe storage, handling and disposal of pharmacological products in accordance with the Acts and </w:t>
      </w:r>
      <w:r w:rsidRPr="00C627BA">
        <w:t>regulations pertaining to these products.</w:t>
      </w:r>
    </w:p>
    <w:p w:rsidR="00000000" w:rsidRPr="00C627BA" w:rsidP="00C627BA">
      <w:pPr>
        <w:pStyle w:val="AllowPageBreak"/>
      </w:pPr>
    </w:p>
    <w:p w:rsidR="00000000" w:rsidRPr="00C627BA" w:rsidP="00C627BA">
      <w:pPr>
        <w:pStyle w:val="Heading1"/>
      </w:pPr>
      <w:bookmarkStart w:id="4" w:name="O_1165552"/>
      <w:bookmarkEnd w:id="4"/>
      <w:r w:rsidRPr="00C627BA">
        <w:t>Assessment Conditions</w:t>
      </w:r>
    </w:p>
    <w:p w:rsidR="00000000" w:rsidRPr="00C627BA" w:rsidP="00053EF9">
      <w:pPr>
        <w:pStyle w:val="BodyText"/>
      </w:pPr>
      <w:r w:rsidRPr="00C627BA">
        <w:t>Skills must have been demonstrated in the workplace or in a simulated environment that reflects workplace conditions.</w:t>
      </w:r>
    </w:p>
    <w:p w:rsidR="00000000" w:rsidRPr="00C627BA" w:rsidP="00053EF9">
      <w:pPr>
        <w:pStyle w:val="BodyText"/>
      </w:pPr>
      <w:r w:rsidRPr="00C627BA">
        <w:t>Where simulation is used, it must reflect real working conditions by modelling industry operating conditions and contingencies, as well as using suitable facilities, equipment and resources.</w:t>
      </w:r>
    </w:p>
    <w:p w:rsidR="00000000" w:rsidRPr="00C627BA" w:rsidP="00053EF9">
      <w:pPr>
        <w:pStyle w:val="BodyText"/>
      </w:pPr>
      <w:r w:rsidRPr="00C627BA">
        <w:t>The performance evidence requirement to implement standard clinic</w:t>
      </w:r>
      <w:r w:rsidRPr="00C627BA">
        <w:t>al care interventions must have been demonstrated using simulation before being demonstrated in the workplace and with members of the public.</w:t>
      </w:r>
    </w:p>
    <w:p w:rsidR="00000000" w:rsidRPr="00C627BA" w:rsidP="00053EF9">
      <w:pPr>
        <w:pStyle w:val="BodyText"/>
      </w:pPr>
      <w:r w:rsidRPr="00C627BA">
        <w:t>Assessment must ensure access to:</w:t>
      </w:r>
    </w:p>
    <w:p w:rsidR="00000000" w:rsidRPr="00C627BA" w:rsidP="00C627BA">
      <w:pPr>
        <w:pStyle w:val="ListBullet"/>
      </w:pPr>
      <w:r w:rsidRPr="00C627BA">
        <w:t>use of facilities, resources and equipment as per local governing body includin</w:t>
      </w:r>
      <w:r w:rsidRPr="00C627BA">
        <w:t>g:</w:t>
      </w:r>
    </w:p>
    <w:p w:rsidR="00000000" w:rsidRPr="00C627BA" w:rsidP="00C627BA">
      <w:pPr>
        <w:pStyle w:val="ListBullet2"/>
      </w:pPr>
      <w:r w:rsidRPr="00C627BA">
        <w:t>simulation with adult, child and infant manikins</w:t>
      </w:r>
    </w:p>
    <w:p w:rsidR="00000000" w:rsidRPr="00C627BA" w:rsidP="00C627BA">
      <w:pPr>
        <w:pStyle w:val="ListBullet2"/>
      </w:pPr>
      <w:r w:rsidRPr="00C627BA">
        <w:t>vital signs monitoring devices</w:t>
      </w:r>
    </w:p>
    <w:p w:rsidR="00000000" w:rsidRPr="00C627BA" w:rsidP="00C627BA">
      <w:pPr>
        <w:pStyle w:val="ListBullet2"/>
      </w:pPr>
      <w:r w:rsidRPr="00C627BA">
        <w:t>ECG recording device</w:t>
      </w:r>
    </w:p>
    <w:p w:rsidR="00000000" w:rsidRPr="00C627BA" w:rsidP="00C627BA">
      <w:pPr>
        <w:pStyle w:val="ListBullet2"/>
      </w:pPr>
      <w:r w:rsidRPr="00C627BA">
        <w:t>placebo samples of pharmacological preparations for use in simulation scenarios.</w:t>
      </w:r>
    </w:p>
    <w:p w:rsidR="00000000" w:rsidRPr="00C627BA" w:rsidP="00C627BA">
      <w:pPr>
        <w:pStyle w:val="ListBullet"/>
      </w:pPr>
      <w:r w:rsidRPr="00C627BA">
        <w:t>forms and documents for recording of patient care.</w:t>
      </w:r>
    </w:p>
    <w:p w:rsidR="00000000" w:rsidRPr="00C627BA" w:rsidP="00053EF9">
      <w:pPr>
        <w:pStyle w:val="BodyText"/>
      </w:pPr>
      <w:r w:rsidRPr="00C627BA">
        <w:t>Assessors must sat</w:t>
      </w:r>
      <w:r w:rsidRPr="00C627BA">
        <w:t>isfy the Standards for Registered Training Organisations’ requirements for assessors.</w:t>
      </w:r>
    </w:p>
    <w:p w:rsidR="00000000" w:rsidRPr="00C627BA" w:rsidP="00C627BA">
      <w:pPr>
        <w:pStyle w:val="Heading1"/>
      </w:pPr>
      <w:bookmarkStart w:id="5" w:name="O_1165563"/>
      <w:bookmarkEnd w:id="5"/>
      <w:r w:rsidRPr="00C627BA">
        <w:t>Links</w:t>
      </w:r>
    </w:p>
    <w:p w:rsidR="00000000" w:rsidRPr="00C627BA" w:rsidP="00053EF9">
      <w:pPr>
        <w:pStyle w:val="BodyText"/>
      </w:pPr>
      <w:r w:rsidRPr="00C627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C57B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627BA" w:rsidP="00C627BA"/>
    <w:sectPr w:rsidSect="00C627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7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7BA" w:rsidRPr="00053EF9" w:rsidP="00053E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7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EF9" w:rsidP="00C627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3EF9" w:rsidP="00C627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53EF9" w:rsidP="00C627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7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E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7BA" w:rsidRPr="00053EF9" w:rsidP="00053E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7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EF9" w:rsidRPr="002D2AF8" w:rsidP="00C627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HLTOUT005 Assess and deliver standard clinical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53EF9" w:rsidP="00C627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16E1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040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E072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7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7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7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7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7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7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7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7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7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7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7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7BA"/>
  </w:style>
  <w:style w:type="character" w:customStyle="1" w:styleId="Heading1Char">
    <w:name w:val="Heading 1 Char"/>
    <w:basedOn w:val="DefaultParagraphFont"/>
    <w:link w:val="Heading1"/>
    <w:rsid w:val="00C627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7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7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27B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27B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27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7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627B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627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7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7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7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7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7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7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7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7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7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7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7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7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7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7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7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7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7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7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27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27BA"/>
    <w:rPr>
      <w:b/>
      <w:spacing w:val="0"/>
    </w:rPr>
  </w:style>
  <w:style w:type="paragraph" w:customStyle="1" w:styleId="SuperTitle">
    <w:name w:val="SuperTitle"/>
    <w:basedOn w:val="Title"/>
    <w:rsid w:val="00C627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7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7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27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7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7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7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7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7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7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7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7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27BA"/>
    <w:rPr>
      <w:i/>
    </w:rPr>
  </w:style>
  <w:style w:type="paragraph" w:styleId="Caption">
    <w:name w:val="caption"/>
    <w:basedOn w:val="BodyText"/>
    <w:next w:val="Normal"/>
    <w:qFormat/>
    <w:rsid w:val="00C627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7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7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7BA"/>
  </w:style>
  <w:style w:type="paragraph" w:styleId="TableofFigures">
    <w:name w:val="table of figures"/>
    <w:basedOn w:val="Normal"/>
    <w:next w:val="Normal"/>
    <w:semiHidden/>
    <w:rsid w:val="00C627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7B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627BA"/>
    <w:rPr>
      <w:rFonts w:ascii="Wingdings" w:hAnsi="Wingdings"/>
    </w:rPr>
  </w:style>
  <w:style w:type="paragraph" w:customStyle="1" w:styleId="TableHeading">
    <w:name w:val="Table Heading"/>
    <w:basedOn w:val="HeadingBase"/>
    <w:rsid w:val="00C627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7BA"/>
    <w:rPr>
      <w:color w:val="0033CC"/>
      <w:u w:val="none"/>
    </w:rPr>
  </w:style>
  <w:style w:type="paragraph" w:customStyle="1" w:styleId="BodyTextRight">
    <w:name w:val="Body Text Right"/>
    <w:basedOn w:val="BodyText"/>
    <w:rsid w:val="00C627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7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7B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7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7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7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7BA"/>
    <w:rPr>
      <w:sz w:val="32"/>
    </w:rPr>
  </w:style>
  <w:style w:type="paragraph" w:customStyle="1" w:styleId="HeadingProcedure">
    <w:name w:val="Heading Procedure"/>
    <w:basedOn w:val="HeadingBase"/>
    <w:next w:val="Normal"/>
    <w:rsid w:val="00C627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7BA"/>
    <w:pPr>
      <w:spacing w:before="60" w:after="60"/>
    </w:pPr>
  </w:style>
  <w:style w:type="paragraph" w:styleId="ListContinue">
    <w:name w:val="List Continue"/>
    <w:basedOn w:val="List"/>
    <w:rsid w:val="00C627BA"/>
    <w:pPr>
      <w:ind w:firstLine="0"/>
    </w:pPr>
  </w:style>
  <w:style w:type="paragraph" w:customStyle="1" w:styleId="ListNote">
    <w:name w:val="List Note"/>
    <w:basedOn w:val="List"/>
    <w:rsid w:val="00C627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7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7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7BA"/>
    <w:rPr>
      <w:rFonts w:ascii="Courier New" w:hAnsi="Courier New"/>
    </w:rPr>
  </w:style>
  <w:style w:type="paragraph" w:customStyle="1" w:styleId="NoteBullet">
    <w:name w:val="Note Bullet"/>
    <w:basedOn w:val="Note"/>
    <w:rsid w:val="00C627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7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7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7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7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627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7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7BA"/>
    <w:rPr>
      <w:b/>
      <w:smallCaps/>
    </w:rPr>
  </w:style>
  <w:style w:type="paragraph" w:customStyle="1" w:styleId="TableListNumber">
    <w:name w:val="Table List Number"/>
    <w:basedOn w:val="ListNumber"/>
    <w:rsid w:val="00C627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7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7BA"/>
    <w:pPr>
      <w:numPr>
        <w:numId w:val="10"/>
      </w:numPr>
    </w:pPr>
  </w:style>
  <w:style w:type="paragraph" w:customStyle="1" w:styleId="ListAlpha2">
    <w:name w:val="List Alpha 2"/>
    <w:basedOn w:val="List2"/>
    <w:rsid w:val="00C627BA"/>
    <w:pPr>
      <w:numPr>
        <w:numId w:val="9"/>
      </w:numPr>
    </w:pPr>
  </w:style>
  <w:style w:type="paragraph" w:styleId="List2">
    <w:name w:val="List 2"/>
    <w:basedOn w:val="BodyText"/>
    <w:rsid w:val="00C627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7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7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7B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627B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627BA"/>
    <w:pPr>
      <w:numPr>
        <w:numId w:val="5"/>
      </w:numPr>
    </w:pPr>
  </w:style>
  <w:style w:type="paragraph" w:styleId="ListContinue2">
    <w:name w:val="List Continue 2"/>
    <w:basedOn w:val="List2"/>
    <w:rsid w:val="00C627BA"/>
    <w:pPr>
      <w:ind w:firstLine="0"/>
    </w:pPr>
  </w:style>
  <w:style w:type="paragraph" w:styleId="ListContinue3">
    <w:name w:val="List Continue 3"/>
    <w:basedOn w:val="List3"/>
    <w:rsid w:val="00C627BA"/>
    <w:pPr>
      <w:ind w:left="1021" w:firstLine="0"/>
    </w:pPr>
  </w:style>
  <w:style w:type="paragraph" w:styleId="ListContinue4">
    <w:name w:val="List Continue 4"/>
    <w:basedOn w:val="List4"/>
    <w:rsid w:val="00C627BA"/>
    <w:pPr>
      <w:ind w:firstLine="0"/>
    </w:pPr>
  </w:style>
  <w:style w:type="paragraph" w:styleId="ListContinue5">
    <w:name w:val="List Continue 5"/>
    <w:basedOn w:val="List5"/>
    <w:rsid w:val="00C627BA"/>
    <w:pPr>
      <w:ind w:firstLine="0"/>
    </w:pPr>
  </w:style>
  <w:style w:type="paragraph" w:styleId="ListNumber3">
    <w:name w:val="List Number 3"/>
    <w:basedOn w:val="List3"/>
    <w:rsid w:val="00C627BA"/>
    <w:pPr>
      <w:numPr>
        <w:numId w:val="6"/>
      </w:numPr>
    </w:pPr>
  </w:style>
  <w:style w:type="paragraph" w:styleId="ListNumber4">
    <w:name w:val="List Number 4"/>
    <w:basedOn w:val="List4"/>
    <w:rsid w:val="00C627BA"/>
    <w:pPr>
      <w:numPr>
        <w:numId w:val="7"/>
      </w:numPr>
    </w:pPr>
  </w:style>
  <w:style w:type="paragraph" w:styleId="ListNumber5">
    <w:name w:val="List Number 5"/>
    <w:basedOn w:val="List5"/>
    <w:rsid w:val="00C627BA"/>
    <w:pPr>
      <w:numPr>
        <w:numId w:val="8"/>
      </w:numPr>
    </w:pPr>
  </w:style>
  <w:style w:type="paragraph" w:styleId="BlockText">
    <w:name w:val="Block Text"/>
    <w:basedOn w:val="Normal"/>
    <w:rsid w:val="00C627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7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7BA"/>
    <w:rPr>
      <w:sz w:val="16"/>
      <w:vertAlign w:val="superscript"/>
    </w:rPr>
  </w:style>
  <w:style w:type="character" w:customStyle="1" w:styleId="Symbols">
    <w:name w:val="Symbols"/>
    <w:basedOn w:val="DefaultParagraphFont"/>
    <w:rsid w:val="00C627BA"/>
    <w:rPr>
      <w:rFonts w:ascii="Symbol" w:hAnsi="Symbol"/>
    </w:rPr>
  </w:style>
  <w:style w:type="character" w:customStyle="1" w:styleId="MenuOptions">
    <w:name w:val="Menu Options"/>
    <w:basedOn w:val="DefaultParagraphFont"/>
    <w:rsid w:val="00C627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7BA"/>
    <w:rPr>
      <w:b/>
    </w:rPr>
  </w:style>
  <w:style w:type="character" w:customStyle="1" w:styleId="Underlined">
    <w:name w:val="Underlined"/>
    <w:basedOn w:val="DefaultParagraphFont"/>
    <w:rsid w:val="00C627BA"/>
    <w:rPr>
      <w:u w:val="single"/>
    </w:rPr>
  </w:style>
  <w:style w:type="paragraph" w:customStyle="1" w:styleId="TableBodyTextRight">
    <w:name w:val="Table Body Text Right"/>
    <w:basedOn w:val="TableBodyText"/>
    <w:rsid w:val="00C627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7BA"/>
    <w:rPr>
      <w:sz w:val="18"/>
    </w:rPr>
  </w:style>
  <w:style w:type="paragraph" w:customStyle="1" w:styleId="BodySmallRight">
    <w:name w:val="Body Small Right"/>
    <w:basedOn w:val="BodyTextRight"/>
    <w:rsid w:val="00C627BA"/>
    <w:rPr>
      <w:sz w:val="18"/>
      <w:szCs w:val="18"/>
    </w:rPr>
  </w:style>
  <w:style w:type="paragraph" w:customStyle="1" w:styleId="MarginEdition">
    <w:name w:val="Margin Edition"/>
    <w:basedOn w:val="MarginNote"/>
    <w:rsid w:val="00C627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7BA"/>
    <w:rPr>
      <w:sz w:val="2"/>
      <w:szCs w:val="2"/>
    </w:rPr>
  </w:style>
  <w:style w:type="character" w:customStyle="1" w:styleId="Small">
    <w:name w:val="Small"/>
    <w:basedOn w:val="DefaultParagraphFont"/>
    <w:rsid w:val="00C627BA"/>
    <w:rPr>
      <w:sz w:val="16"/>
    </w:rPr>
  </w:style>
  <w:style w:type="paragraph" w:customStyle="1" w:styleId="WideTable">
    <w:name w:val="Wide Table"/>
    <w:basedOn w:val="Normal"/>
    <w:rsid w:val="00C627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7BA"/>
  </w:style>
  <w:style w:type="paragraph" w:styleId="Quote">
    <w:name w:val="Quote"/>
    <w:basedOn w:val="Heading1"/>
    <w:link w:val="QuoteChar"/>
    <w:qFormat/>
    <w:rsid w:val="00C627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7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7BA"/>
    <w:pPr>
      <w:pageBreakBefore/>
    </w:pPr>
  </w:style>
  <w:style w:type="paragraph" w:customStyle="1" w:styleId="Border">
    <w:name w:val="Border"/>
    <w:basedOn w:val="Normal"/>
    <w:qFormat/>
    <w:rsid w:val="00C627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7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7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7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7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7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7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7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7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7BA"/>
    <w:rPr>
      <w:u w:val="single"/>
    </w:rPr>
  </w:style>
  <w:style w:type="character" w:customStyle="1" w:styleId="BoldandItalics">
    <w:name w:val="Bold and Italics"/>
    <w:qFormat/>
    <w:rsid w:val="00C627BA"/>
    <w:rPr>
      <w:b/>
      <w:i/>
      <w:u w:val="none"/>
    </w:rPr>
  </w:style>
  <w:style w:type="paragraph" w:styleId="BalloonText">
    <w:name w:val="Balloon Text"/>
    <w:basedOn w:val="Normal"/>
    <w:link w:val="BalloonTextChar"/>
    <w:rsid w:val="00C627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7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7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7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7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7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7BA"/>
    <w:pPr>
      <w:spacing w:before="0" w:after="0"/>
    </w:pPr>
  </w:style>
  <w:style w:type="paragraph" w:customStyle="1" w:styleId="BodyTextBold">
    <w:name w:val="Body Text Bold"/>
    <w:basedOn w:val="BodyText"/>
    <w:qFormat/>
    <w:rsid w:val="00C627BA"/>
    <w:rPr>
      <w:b/>
    </w:rPr>
  </w:style>
  <w:style w:type="character" w:styleId="Hyperlink">
    <w:name w:val="Hyperlink"/>
    <w:basedOn w:val="DefaultParagraphFont"/>
    <w:uiPriority w:val="99"/>
    <w:unhideWhenUsed/>
    <w:rsid w:val="00053E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5370</Characters>
  <Application>Microsoft Office Word</Application>
  <DocSecurity>0</DocSecurity>
  <Lines>153</Lines>
  <Paragraphs>123</Paragraphs>
  <ScaleCrop>false</ScaleCrop>
  <Company>Author-it Software Corporation Ltd.</Company>
  <LinksUpToDate>false</LinksUpToDate>
  <CharactersWithSpaces>6032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HLTOUT005 Assess and deliver standard clinical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2023-07-01T03:56:00Z</dcterms:created>
  <dcterms:modified xsi:type="dcterms:W3CDTF">2023-07-01T03:56:00Z</dcterms:modified>
</cp:coreProperties>
</file>