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B9C" w:rsidP="003C6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HLTOUT004 Assess and deliver basic clinical care</w:t>
      </w:r>
      <w:r>
        <w:fldChar w:fldCharType="end"/>
      </w:r>
    </w:p>
    <w:p w:rsidR="003C6B9C" w:rsidP="003C6B9C">
      <w:pPr>
        <w:pStyle w:val="Version"/>
        <w:sectPr w:rsidSect="00BF0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07D6" w:rsidP="00BF07D6">
      <w:pPr>
        <w:pStyle w:val="SuperHeading"/>
      </w:pPr>
      <w:r w:rsidRPr="00BF07D6">
        <w:t>Assessment Requirements for HLTOUT004 Assess and deliver basic clinical care</w:t>
      </w:r>
    </w:p>
    <w:p w:rsidR="00000000" w:rsidRPr="00BF07D6" w:rsidP="00BF07D6">
      <w:pPr>
        <w:pStyle w:val="Heading1"/>
      </w:pPr>
      <w:bookmarkStart w:id="1" w:name="O_1165541"/>
      <w:bookmarkEnd w:id="1"/>
      <w:r w:rsidRPr="00BF07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BF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D6">
            <w:pPr>
              <w:pStyle w:val="BodyText"/>
              <w:rPr>
                <w:lang w:val="en-NZ"/>
              </w:rPr>
            </w:pPr>
            <w:r w:rsidRPr="00BF07D6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D6">
            <w:pPr>
              <w:pStyle w:val="BodyText"/>
              <w:rPr>
                <w:lang w:val="en-NZ"/>
              </w:rPr>
            </w:pPr>
            <w:r w:rsidRPr="00BF07D6">
              <w:t>Comments</w:t>
            </w:r>
          </w:p>
        </w:tc>
      </w:tr>
      <w:tr w:rsidTr="00BF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D6" w:rsidP="00BF07D6">
            <w:pPr>
              <w:pStyle w:val="BodyText"/>
            </w:pPr>
            <w:r w:rsidRPr="00BF07D6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D6" w:rsidP="00BF07D6">
            <w:pPr>
              <w:pStyle w:val="BodyText"/>
            </w:pPr>
            <w:r w:rsidRPr="00BF07D6">
              <w:t>Release 2.  HLTOUT004 Assess and deliver basic clinical care supersedes and is equivalent to Release 1. HLTOUT004 Assess and deliver basic clinical care.</w:t>
            </w:r>
          </w:p>
          <w:p w:rsidR="00000000" w:rsidP="00BF07D6">
            <w:pPr>
              <w:pStyle w:val="BodyText"/>
              <w:rPr>
                <w:lang w:val="en-NZ"/>
              </w:rPr>
            </w:pPr>
            <w:r w:rsidRPr="00BF07D6">
              <w:t>Minor changes. Mapping Info Table Notes added for superseded unit HLTAMB007 Assess and deliver basic c</w:t>
            </w:r>
            <w:r w:rsidRPr="00BF07D6">
              <w:t>linical care.</w:t>
            </w:r>
          </w:p>
        </w:tc>
      </w:tr>
      <w:tr w:rsidTr="00BF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D6" w:rsidP="00BF07D6">
            <w:pPr>
              <w:pStyle w:val="BodyText"/>
            </w:pPr>
            <w:r w:rsidRPr="00BF07D6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D6" w:rsidP="00BF07D6">
            <w:pPr>
              <w:pStyle w:val="BodyText"/>
            </w:pPr>
            <w:r w:rsidRPr="00BF07D6">
              <w:t>Release 1. HLTOUT004 Assess and deliver basic clinical care supersedes and is not equivalent to HLTAMB007 Assess and deliver basic clinical care.</w:t>
            </w:r>
          </w:p>
        </w:tc>
      </w:tr>
    </w:tbl>
    <w:p w:rsidR="00000000" w:rsidRPr="00BF07D6" w:rsidP="00BF07D6">
      <w:pPr>
        <w:pStyle w:val="BodyText"/>
      </w:pPr>
    </w:p>
    <w:p w:rsidR="00000000" w:rsidRPr="00BF07D6" w:rsidP="00BF07D6">
      <w:pPr>
        <w:pStyle w:val="AllowPageBreak"/>
      </w:pPr>
    </w:p>
    <w:p w:rsidR="00000000" w:rsidRPr="00BF07D6" w:rsidP="00BF07D6">
      <w:pPr>
        <w:pStyle w:val="Heading1"/>
      </w:pPr>
      <w:bookmarkStart w:id="2" w:name="O_1165540"/>
      <w:bookmarkEnd w:id="2"/>
      <w:r w:rsidRPr="00BF07D6">
        <w:t>Performance Evidence</w:t>
      </w:r>
    </w:p>
    <w:p w:rsidR="00000000" w:rsidRPr="00BF07D6" w:rsidP="003C6B9C">
      <w:pPr>
        <w:pStyle w:val="BodyText"/>
      </w:pPr>
      <w:r w:rsidRPr="00BF07D6">
        <w:t>Eviden</w:t>
      </w:r>
      <w:r w:rsidRPr="00BF07D6">
        <w:t>ce of the ability to complete tasks outlined in elements and performance criteria of this unit in the context of the job role.</w:t>
      </w:r>
    </w:p>
    <w:p w:rsidR="00000000" w:rsidRPr="00BF07D6" w:rsidP="003C6B9C">
      <w:pPr>
        <w:pStyle w:val="BodyText"/>
      </w:pPr>
      <w:r w:rsidRPr="00BF07D6">
        <w:t>There must be evidence that the candidate has:</w:t>
      </w:r>
    </w:p>
    <w:p w:rsidR="00000000" w:rsidRPr="00BF07D6" w:rsidP="00BF07D6">
      <w:pPr>
        <w:pStyle w:val="ListBullet"/>
      </w:pPr>
      <w:r w:rsidRPr="00BF07D6">
        <w:t>performed the activities outlined in the performance criteria of this unit during</w:t>
      </w:r>
      <w:r w:rsidRPr="00BF07D6">
        <w:t xml:space="preserve"> a period of at least 80 hours work, under clinical supervision in the workplace</w:t>
      </w:r>
    </w:p>
    <w:p w:rsidR="00000000" w:rsidRPr="00BF07D6" w:rsidP="00BF07D6">
      <w:pPr>
        <w:pStyle w:val="ListBullet"/>
      </w:pPr>
      <w:r w:rsidRPr="00BF07D6">
        <w:t>performed a clinical assessment and implemented basic care in a pre-hospital or out-of-hospital context on at least three different patient presentations for an illness or tra</w:t>
      </w:r>
      <w:r w:rsidRPr="00BF07D6">
        <w:t>uma impacting health status including:</w:t>
      </w:r>
    </w:p>
    <w:p w:rsidR="00000000" w:rsidRPr="00BF07D6" w:rsidP="00BF07D6">
      <w:pPr>
        <w:pStyle w:val="ListBullet2"/>
      </w:pPr>
      <w:r w:rsidRPr="00BF07D6">
        <w:t>primary survey</w:t>
      </w:r>
    </w:p>
    <w:p w:rsidR="00000000" w:rsidRPr="00BF07D6" w:rsidP="00BF07D6">
      <w:pPr>
        <w:pStyle w:val="ListBullet2"/>
      </w:pPr>
      <w:r w:rsidRPr="00BF07D6">
        <w:t>secondary survey</w:t>
      </w:r>
    </w:p>
    <w:p w:rsidR="00000000" w:rsidRPr="00BF07D6" w:rsidP="00BF07D6">
      <w:pPr>
        <w:pStyle w:val="ListBullet2"/>
      </w:pPr>
      <w:r w:rsidRPr="00BF07D6">
        <w:t>planning and implementing basic clinical care based on assessment and time-criticality</w:t>
      </w:r>
    </w:p>
    <w:p w:rsidR="00000000" w:rsidRPr="00BF07D6" w:rsidP="00BF07D6">
      <w:pPr>
        <w:pStyle w:val="ListBullet2"/>
      </w:pPr>
      <w:r w:rsidRPr="00BF07D6">
        <w:t>monitoring patient</w:t>
      </w:r>
    </w:p>
    <w:p w:rsidR="00000000" w:rsidRPr="00BF07D6" w:rsidP="00BF07D6">
      <w:pPr>
        <w:pStyle w:val="ListBullet2"/>
      </w:pPr>
      <w:r w:rsidRPr="00BF07D6">
        <w:t>safely delivering patient to a healthcare professional, facility or service</w:t>
      </w:r>
    </w:p>
    <w:p w:rsidR="00000000" w:rsidRPr="00BF07D6" w:rsidP="00BF07D6">
      <w:pPr>
        <w:pStyle w:val="ListBullet"/>
      </w:pPr>
      <w:r w:rsidRPr="00BF07D6">
        <w:t>performed basic life support on an adult, child and infant simulation manikin according to established clinical guidelines and protocols.</w:t>
      </w:r>
    </w:p>
    <w:p w:rsidR="00000000" w:rsidRPr="00BF07D6" w:rsidP="00BF07D6">
      <w:pPr>
        <w:pStyle w:val="AllowPageBreak"/>
      </w:pPr>
    </w:p>
    <w:p w:rsidR="00000000" w:rsidRPr="00BF07D6" w:rsidP="00BF07D6">
      <w:pPr>
        <w:pStyle w:val="Heading1"/>
      </w:pPr>
      <w:bookmarkStart w:id="3" w:name="O_1165539"/>
      <w:bookmarkEnd w:id="3"/>
      <w:r w:rsidRPr="00BF07D6">
        <w:t>Knowledge Evidence</w:t>
      </w:r>
    </w:p>
    <w:p w:rsidR="00000000" w:rsidRPr="00BF07D6" w:rsidP="003C6B9C">
      <w:pPr>
        <w:pStyle w:val="BodyText"/>
      </w:pPr>
      <w:r w:rsidRPr="00BF07D6">
        <w:t>Demonstrated knowledge required to complete the tasks outlined in elements and p</w:t>
      </w:r>
      <w:r w:rsidRPr="00BF07D6">
        <w:t>erformance criteria of this unit:</w:t>
      </w:r>
    </w:p>
    <w:p w:rsidR="00000000" w:rsidRPr="00BF07D6" w:rsidP="00BF07D6">
      <w:pPr>
        <w:pStyle w:val="ListBullet"/>
      </w:pPr>
      <w:r w:rsidRPr="00BF07D6">
        <w:t>Commonwealth and State or Territory legal considerations for emergency health care workers working in out-of-hospital care, and how these are applied in organisations including:</w:t>
      </w:r>
    </w:p>
    <w:p w:rsidR="00000000" w:rsidRPr="00BF07D6" w:rsidP="00BF07D6">
      <w:pPr>
        <w:pStyle w:val="ListBullet2"/>
      </w:pPr>
      <w:r w:rsidRPr="00BF07D6">
        <w:t>discrimination</w:t>
      </w:r>
    </w:p>
    <w:p w:rsidR="00000000" w:rsidRPr="00BF07D6" w:rsidP="00BF07D6">
      <w:pPr>
        <w:pStyle w:val="ListBullet2"/>
      </w:pPr>
      <w:r w:rsidRPr="00BF07D6">
        <w:t>duty of care</w:t>
      </w:r>
    </w:p>
    <w:p w:rsidR="00000000" w:rsidRPr="00BF07D6" w:rsidP="00BF07D6">
      <w:pPr>
        <w:pStyle w:val="ListBullet2"/>
      </w:pPr>
      <w:r w:rsidRPr="00BF07D6">
        <w:t>mandatory repo</w:t>
      </w:r>
      <w:r w:rsidRPr="00BF07D6">
        <w:t>rting</w:t>
      </w:r>
    </w:p>
    <w:p w:rsidR="00000000" w:rsidRPr="00BF07D6" w:rsidP="00BF07D6">
      <w:pPr>
        <w:pStyle w:val="ListBullet2"/>
      </w:pPr>
      <w:r w:rsidRPr="00BF07D6">
        <w:t>health records and information privacy</w:t>
      </w:r>
    </w:p>
    <w:p w:rsidR="00000000" w:rsidRPr="00BF07D6" w:rsidP="00BF07D6">
      <w:pPr>
        <w:pStyle w:val="ListBullet2"/>
      </w:pPr>
      <w:r w:rsidRPr="00BF07D6">
        <w:t>drugs and poisons</w:t>
      </w:r>
    </w:p>
    <w:p w:rsidR="00000000" w:rsidRPr="00BF07D6" w:rsidP="00BF07D6">
      <w:pPr>
        <w:pStyle w:val="ListBullet2"/>
      </w:pPr>
      <w:r w:rsidRPr="00BF07D6">
        <w:t>informed consent</w:t>
      </w:r>
    </w:p>
    <w:p w:rsidR="00000000" w:rsidRPr="00BF07D6" w:rsidP="00BF07D6">
      <w:pPr>
        <w:pStyle w:val="ListBullet2"/>
      </w:pPr>
      <w:r w:rsidRPr="00BF07D6">
        <w:t>work health and safety</w:t>
      </w:r>
    </w:p>
    <w:p w:rsidR="00000000" w:rsidRPr="00BF07D6" w:rsidP="00BF07D6">
      <w:pPr>
        <w:pStyle w:val="ListBullet"/>
      </w:pPr>
      <w:r w:rsidRPr="00BF07D6">
        <w:t>clinical practice guidelines and protocols</w:t>
      </w:r>
    </w:p>
    <w:p w:rsidR="00000000" w:rsidRPr="00BF07D6" w:rsidP="00BF07D6">
      <w:pPr>
        <w:pStyle w:val="ListBullet"/>
      </w:pPr>
      <w:r w:rsidRPr="00BF07D6">
        <w:t>ethical considerations for emergency health care workers working in out-of-hospital care, and how these are applied in organisations including:</w:t>
      </w:r>
    </w:p>
    <w:p w:rsidR="00000000" w:rsidRPr="00BF07D6" w:rsidP="00BF07D6">
      <w:pPr>
        <w:pStyle w:val="ListBullet2"/>
      </w:pPr>
      <w:r w:rsidRPr="00BF07D6">
        <w:t>scope of practice</w:t>
      </w:r>
    </w:p>
    <w:p w:rsidR="00000000" w:rsidRPr="00BF07D6" w:rsidP="00BF07D6">
      <w:pPr>
        <w:pStyle w:val="ListBullet2"/>
      </w:pPr>
      <w:r w:rsidRPr="00BF07D6">
        <w:t>practitioner and patient boundaries:</w:t>
      </w:r>
    </w:p>
    <w:p w:rsidR="00000000" w:rsidRPr="00BF07D6" w:rsidP="00BF07D6">
      <w:pPr>
        <w:pStyle w:val="ListBullet3"/>
      </w:pPr>
      <w:r w:rsidRPr="00BF07D6">
        <w:t xml:space="preserve">responsibilities </w:t>
      </w:r>
    </w:p>
    <w:p w:rsidR="00000000" w:rsidRPr="00BF07D6" w:rsidP="00BF07D6">
      <w:pPr>
        <w:pStyle w:val="ListBullet3"/>
      </w:pPr>
      <w:r w:rsidRPr="00BF07D6">
        <w:t>limitations</w:t>
      </w:r>
    </w:p>
    <w:p w:rsidR="00000000" w:rsidRPr="00BF07D6" w:rsidP="00BF07D6">
      <w:pPr>
        <w:pStyle w:val="ListBullet2"/>
      </w:pPr>
      <w:r w:rsidRPr="00BF07D6">
        <w:t>National Safety and Quality Health Service (NSQHS) Standards</w:t>
      </w:r>
    </w:p>
    <w:p w:rsidR="00000000" w:rsidRPr="00BF07D6" w:rsidP="00BF07D6">
      <w:pPr>
        <w:pStyle w:val="ListBullet"/>
      </w:pPr>
      <w:r w:rsidRPr="00BF07D6">
        <w:t>techniques for assessing and interpreting vital signs including:</w:t>
      </w:r>
    </w:p>
    <w:p w:rsidR="00000000" w:rsidRPr="00BF07D6" w:rsidP="00BF07D6">
      <w:pPr>
        <w:pStyle w:val="ListBullet2"/>
      </w:pPr>
      <w:r w:rsidRPr="00BF07D6">
        <w:t>level of consciousness:</w:t>
      </w:r>
    </w:p>
    <w:p w:rsidR="00000000" w:rsidRPr="00BF07D6" w:rsidP="00BF07D6">
      <w:pPr>
        <w:pStyle w:val="ListBullet3"/>
      </w:pPr>
      <w:r w:rsidRPr="00BF07D6">
        <w:t xml:space="preserve">Glasgow Coma Score (GCS) </w:t>
      </w:r>
    </w:p>
    <w:p w:rsidR="00000000" w:rsidRPr="00BF07D6" w:rsidP="00BF07D6">
      <w:pPr>
        <w:pStyle w:val="ListBullet3"/>
      </w:pPr>
      <w:r w:rsidRPr="00BF07D6">
        <w:t>alert, voice, pain, unresponsive (AVPU)</w:t>
      </w:r>
    </w:p>
    <w:p w:rsidR="00000000" w:rsidRPr="00BF07D6" w:rsidP="00BF07D6">
      <w:pPr>
        <w:pStyle w:val="ListBullet2"/>
      </w:pPr>
      <w:r w:rsidRPr="00BF07D6">
        <w:t>respiratory status:</w:t>
      </w:r>
    </w:p>
    <w:p w:rsidR="00000000" w:rsidRPr="00BF07D6" w:rsidP="00BF07D6">
      <w:pPr>
        <w:pStyle w:val="ListBullet3"/>
      </w:pPr>
      <w:r w:rsidRPr="00BF07D6">
        <w:t>rate</w:t>
      </w:r>
    </w:p>
    <w:p w:rsidR="00000000" w:rsidRPr="00BF07D6" w:rsidP="00BF07D6">
      <w:pPr>
        <w:pStyle w:val="ListBullet3"/>
      </w:pPr>
      <w:r w:rsidRPr="00BF07D6">
        <w:t>rhythm</w:t>
      </w:r>
    </w:p>
    <w:p w:rsidR="00000000" w:rsidRPr="00BF07D6" w:rsidP="00BF07D6">
      <w:pPr>
        <w:pStyle w:val="ListBullet3"/>
      </w:pPr>
      <w:r w:rsidRPr="00BF07D6">
        <w:t>effort</w:t>
      </w:r>
    </w:p>
    <w:p w:rsidR="00000000" w:rsidRPr="00BF07D6" w:rsidP="00BF07D6">
      <w:pPr>
        <w:pStyle w:val="ListBullet3"/>
      </w:pPr>
      <w:r w:rsidRPr="00BF07D6">
        <w:t>breath sounds</w:t>
      </w:r>
    </w:p>
    <w:p w:rsidR="00000000" w:rsidRPr="00BF07D6" w:rsidP="00BF07D6">
      <w:pPr>
        <w:pStyle w:val="ListBullet2"/>
      </w:pPr>
      <w:r w:rsidRPr="00BF07D6">
        <w:t>temperature status:</w:t>
      </w:r>
    </w:p>
    <w:p w:rsidR="00000000" w:rsidRPr="00BF07D6" w:rsidP="00BF07D6">
      <w:pPr>
        <w:pStyle w:val="ListBullet3"/>
      </w:pPr>
      <w:r w:rsidRPr="00BF07D6">
        <w:t>febrile</w:t>
      </w:r>
    </w:p>
    <w:p w:rsidR="00000000" w:rsidRPr="00BF07D6" w:rsidP="00BF07D6">
      <w:pPr>
        <w:pStyle w:val="ListBullet3"/>
      </w:pPr>
      <w:r w:rsidRPr="00BF07D6">
        <w:t>afebrile</w:t>
      </w:r>
    </w:p>
    <w:p w:rsidR="00000000" w:rsidRPr="00BF07D6" w:rsidP="00BF07D6">
      <w:pPr>
        <w:pStyle w:val="ListBullet3"/>
      </w:pPr>
      <w:r w:rsidRPr="00BF07D6">
        <w:t>hypothermic</w:t>
      </w:r>
    </w:p>
    <w:p w:rsidR="00000000" w:rsidRPr="00BF07D6" w:rsidP="00BF07D6">
      <w:pPr>
        <w:pStyle w:val="ListBullet2"/>
      </w:pPr>
      <w:r w:rsidRPr="00BF07D6">
        <w:t>blood volume and perfusion status:</w:t>
      </w:r>
    </w:p>
    <w:p w:rsidR="00000000" w:rsidRPr="00BF07D6" w:rsidP="00BF07D6">
      <w:pPr>
        <w:pStyle w:val="ListBullet3"/>
      </w:pPr>
      <w:r w:rsidRPr="00BF07D6">
        <w:t>pulse</w:t>
      </w:r>
    </w:p>
    <w:p w:rsidR="00000000" w:rsidRPr="00BF07D6" w:rsidP="00BF07D6">
      <w:pPr>
        <w:pStyle w:val="ListBullet3"/>
      </w:pPr>
      <w:r w:rsidRPr="00BF07D6">
        <w:t>blood pressure</w:t>
      </w:r>
    </w:p>
    <w:p w:rsidR="00000000" w:rsidRPr="00BF07D6" w:rsidP="00BF07D6">
      <w:pPr>
        <w:pStyle w:val="ListBullet3"/>
      </w:pPr>
      <w:r w:rsidRPr="00BF07D6">
        <w:t>capillary refill</w:t>
      </w:r>
    </w:p>
    <w:p w:rsidR="00000000" w:rsidRPr="00BF07D6" w:rsidP="00BF07D6">
      <w:pPr>
        <w:pStyle w:val="ListBullet3"/>
      </w:pPr>
      <w:r w:rsidRPr="00BF07D6">
        <w:t>skin</w:t>
      </w:r>
    </w:p>
    <w:p w:rsidR="00000000" w:rsidRPr="00BF07D6" w:rsidP="00BF07D6">
      <w:pPr>
        <w:pStyle w:val="ListBullet2"/>
      </w:pPr>
      <w:r w:rsidRPr="00BF07D6">
        <w:t>pain status</w:t>
      </w:r>
    </w:p>
    <w:p w:rsidR="00000000" w:rsidRPr="00BF07D6" w:rsidP="00BF07D6">
      <w:pPr>
        <w:pStyle w:val="ListBullet"/>
      </w:pPr>
      <w:r w:rsidRPr="00BF07D6">
        <w:t>components of and techniques used for primary survey and secondary survey</w:t>
      </w:r>
    </w:p>
    <w:p w:rsidR="00000000" w:rsidRPr="00BF07D6" w:rsidP="00BF07D6">
      <w:pPr>
        <w:pStyle w:val="ListBullet"/>
      </w:pPr>
      <w:r w:rsidRPr="00BF07D6">
        <w:t>basic anatomy and physiology of body systems:</w:t>
      </w:r>
    </w:p>
    <w:p w:rsidR="00000000" w:rsidRPr="00BF07D6" w:rsidP="00BF07D6">
      <w:pPr>
        <w:pStyle w:val="ListBullet2"/>
      </w:pPr>
      <w:r w:rsidRPr="00BF07D6">
        <w:t>cardiovascular</w:t>
      </w:r>
    </w:p>
    <w:p w:rsidR="00000000" w:rsidRPr="00BF07D6" w:rsidP="00BF07D6">
      <w:pPr>
        <w:pStyle w:val="ListBullet2"/>
      </w:pPr>
      <w:r w:rsidRPr="00BF07D6">
        <w:t>respiratory</w:t>
      </w:r>
    </w:p>
    <w:p w:rsidR="00000000" w:rsidRPr="00BF07D6" w:rsidP="00BF07D6">
      <w:pPr>
        <w:pStyle w:val="ListBullet2"/>
      </w:pPr>
      <w:r w:rsidRPr="00BF07D6">
        <w:t>musculo-skeletal</w:t>
      </w:r>
    </w:p>
    <w:p w:rsidR="00000000" w:rsidRPr="00BF07D6" w:rsidP="00BF07D6">
      <w:pPr>
        <w:pStyle w:val="ListBullet2"/>
      </w:pPr>
      <w:r w:rsidRPr="00BF07D6">
        <w:t>endocrine</w:t>
      </w:r>
    </w:p>
    <w:p w:rsidR="00000000" w:rsidRPr="00BF07D6" w:rsidP="00BF07D6">
      <w:pPr>
        <w:pStyle w:val="ListBullet2"/>
      </w:pPr>
      <w:r w:rsidRPr="00BF07D6">
        <w:t>nervous</w:t>
      </w:r>
    </w:p>
    <w:p w:rsidR="00000000" w:rsidRPr="00BF07D6" w:rsidP="00BF07D6">
      <w:pPr>
        <w:pStyle w:val="ListBullet2"/>
      </w:pPr>
      <w:r w:rsidRPr="00BF07D6">
        <w:t>digestive</w:t>
      </w:r>
    </w:p>
    <w:p w:rsidR="00000000" w:rsidRPr="00BF07D6" w:rsidP="00BF07D6">
      <w:pPr>
        <w:pStyle w:val="ListBullet2"/>
      </w:pPr>
      <w:r w:rsidRPr="00BF07D6">
        <w:t>urinary</w:t>
      </w:r>
    </w:p>
    <w:p w:rsidR="00000000" w:rsidRPr="00BF07D6" w:rsidP="00BF07D6">
      <w:pPr>
        <w:pStyle w:val="ListBullet2"/>
      </w:pPr>
      <w:r w:rsidRPr="00BF07D6">
        <w:t>reproductive</w:t>
      </w:r>
    </w:p>
    <w:p w:rsidR="00000000" w:rsidRPr="00BF07D6" w:rsidP="00BF07D6">
      <w:pPr>
        <w:pStyle w:val="ListBullet2"/>
      </w:pPr>
      <w:r w:rsidRPr="00BF07D6">
        <w:t>integumentary</w:t>
      </w:r>
    </w:p>
    <w:p w:rsidR="00000000" w:rsidRPr="00BF07D6" w:rsidP="00BF07D6">
      <w:pPr>
        <w:pStyle w:val="ListBullet2"/>
      </w:pPr>
      <w:r w:rsidRPr="00BF07D6">
        <w:t>lymphatic</w:t>
      </w:r>
    </w:p>
    <w:p w:rsidR="00000000" w:rsidRPr="00BF07D6" w:rsidP="00BF07D6">
      <w:pPr>
        <w:pStyle w:val="ListBullet2"/>
      </w:pPr>
      <w:r w:rsidRPr="00BF07D6">
        <w:t>special senses</w:t>
      </w:r>
    </w:p>
    <w:p w:rsidR="00000000" w:rsidRPr="00BF07D6" w:rsidP="00BF07D6">
      <w:pPr>
        <w:pStyle w:val="ListBullet"/>
      </w:pPr>
      <w:r w:rsidRPr="00BF07D6">
        <w:t>basic pharmacology of medications:</w:t>
      </w:r>
    </w:p>
    <w:p w:rsidR="00000000" w:rsidRPr="00BF07D6" w:rsidP="00BF07D6">
      <w:pPr>
        <w:pStyle w:val="ListBullet2"/>
      </w:pPr>
      <w:r w:rsidRPr="00BF07D6">
        <w:t>pharmacodynamics, pharmacokinetics, phar</w:t>
      </w:r>
      <w:r w:rsidRPr="00BF07D6">
        <w:t>macotherapeutics, toxicology</w:t>
      </w:r>
    </w:p>
    <w:p w:rsidR="00000000" w:rsidRPr="00BF07D6" w:rsidP="00BF07D6">
      <w:pPr>
        <w:pStyle w:val="ListBullet2"/>
      </w:pPr>
      <w:r w:rsidRPr="00BF07D6">
        <w:t>indications and contraindications</w:t>
      </w:r>
    </w:p>
    <w:p w:rsidR="00000000" w:rsidRPr="00BF07D6" w:rsidP="00BF07D6">
      <w:pPr>
        <w:pStyle w:val="ListBullet2"/>
      </w:pPr>
      <w:r w:rsidRPr="00BF07D6">
        <w:t>side effects and adverse reactions</w:t>
      </w:r>
    </w:p>
    <w:p w:rsidR="00000000" w:rsidRPr="00BF07D6" w:rsidP="00BF07D6">
      <w:pPr>
        <w:pStyle w:val="ListBullet"/>
      </w:pPr>
      <w:r w:rsidRPr="00BF07D6">
        <w:t>administration:</w:t>
      </w:r>
    </w:p>
    <w:p w:rsidR="00000000" w:rsidRPr="00BF07D6" w:rsidP="00BF07D6">
      <w:pPr>
        <w:pStyle w:val="ListBullet2"/>
      </w:pPr>
      <w:r w:rsidRPr="00BF07D6">
        <w:t>routes</w:t>
      </w:r>
    </w:p>
    <w:p w:rsidR="00000000" w:rsidRPr="00BF07D6" w:rsidP="00BF07D6">
      <w:pPr>
        <w:pStyle w:val="ListBullet3"/>
      </w:pPr>
      <w:r w:rsidRPr="00BF07D6">
        <w:t>oral</w:t>
      </w:r>
    </w:p>
    <w:p w:rsidR="00000000" w:rsidRPr="00BF07D6" w:rsidP="00BF07D6">
      <w:pPr>
        <w:pStyle w:val="ListBullet3"/>
      </w:pPr>
      <w:r w:rsidRPr="00BF07D6">
        <w:t>intranasal</w:t>
      </w:r>
    </w:p>
    <w:p w:rsidR="00000000" w:rsidRPr="00BF07D6" w:rsidP="00BF07D6">
      <w:pPr>
        <w:pStyle w:val="ListBullet3"/>
      </w:pPr>
      <w:r w:rsidRPr="00BF07D6">
        <w:t>intramuscular</w:t>
      </w:r>
    </w:p>
    <w:p w:rsidR="00000000" w:rsidRPr="00BF07D6" w:rsidP="00BF07D6">
      <w:pPr>
        <w:pStyle w:val="ListBullet2"/>
      </w:pPr>
      <w:r w:rsidRPr="00BF07D6">
        <w:t>infection prevention and control</w:t>
      </w:r>
    </w:p>
    <w:p w:rsidR="00000000" w:rsidRPr="00BF07D6" w:rsidP="00BF07D6">
      <w:pPr>
        <w:pStyle w:val="ListBullet"/>
      </w:pPr>
      <w:r w:rsidRPr="00BF07D6">
        <w:t>control of medications/substances:</w:t>
      </w:r>
    </w:p>
    <w:p w:rsidR="00000000" w:rsidRPr="00BF07D6" w:rsidP="00BF07D6">
      <w:pPr>
        <w:pStyle w:val="ListBullet2"/>
      </w:pPr>
      <w:r w:rsidRPr="00BF07D6">
        <w:t>legal requirements and organisational policies and procedures for storage, handling, administration, disposal and documentation of drugs</w:t>
      </w:r>
    </w:p>
    <w:p w:rsidR="00000000" w:rsidRPr="00BF07D6" w:rsidP="00BF07D6">
      <w:pPr>
        <w:pStyle w:val="ListBullet2"/>
      </w:pPr>
      <w:r w:rsidRPr="00BF07D6">
        <w:t>scheduling</w:t>
      </w:r>
    </w:p>
    <w:p w:rsidR="00000000" w:rsidRPr="00BF07D6" w:rsidP="00BF07D6">
      <w:pPr>
        <w:pStyle w:val="ListBullet"/>
      </w:pPr>
      <w:r w:rsidRPr="00BF07D6">
        <w:t>basic life support techniques, including procedures and equipment used within established clinical guidelin</w:t>
      </w:r>
      <w:r w:rsidRPr="00BF07D6">
        <w:t>es and protocols</w:t>
      </w:r>
    </w:p>
    <w:p w:rsidR="00000000" w:rsidRPr="00BF07D6" w:rsidP="00BF07D6">
      <w:pPr>
        <w:pStyle w:val="ListBullet"/>
      </w:pPr>
      <w:r w:rsidRPr="00BF07D6">
        <w:t>methods of documenting patient medical history including pre-existing conditions, allergies, social and emotional wellbeing, and current medication or treatment plans to provide to receiving health facility workers</w:t>
      </w:r>
    </w:p>
    <w:p w:rsidR="00000000" w:rsidRPr="00BF07D6" w:rsidP="00BF07D6">
      <w:pPr>
        <w:pStyle w:val="ListBullet"/>
      </w:pPr>
      <w:r w:rsidRPr="00BF07D6">
        <w:t>receiving facility requi</w:t>
      </w:r>
      <w:r w:rsidRPr="00BF07D6">
        <w:t>rements or how to access these requirements</w:t>
      </w:r>
    </w:p>
    <w:p w:rsidR="00000000" w:rsidRPr="00BF07D6" w:rsidP="00BF07D6">
      <w:pPr>
        <w:pStyle w:val="ListBullet"/>
      </w:pPr>
      <w:r w:rsidRPr="00BF07D6">
        <w:t>procedures to undertake when the required patient treatment is outside the scope or authority to practise of the attending worker.</w:t>
      </w:r>
    </w:p>
    <w:p w:rsidR="00000000" w:rsidRPr="00BF07D6" w:rsidP="00BF07D6">
      <w:pPr>
        <w:pStyle w:val="AllowPageBreak"/>
      </w:pPr>
    </w:p>
    <w:p w:rsidR="00000000" w:rsidRPr="00BF07D6" w:rsidP="00BF07D6">
      <w:pPr>
        <w:pStyle w:val="Heading1"/>
      </w:pPr>
      <w:bookmarkStart w:id="4" w:name="O_1165538"/>
      <w:bookmarkEnd w:id="4"/>
      <w:r w:rsidRPr="00BF07D6">
        <w:t>Assessment Conditions</w:t>
      </w:r>
    </w:p>
    <w:p w:rsidR="00000000" w:rsidRPr="00BF07D6" w:rsidP="003C6B9C">
      <w:pPr>
        <w:pStyle w:val="BodyText"/>
      </w:pPr>
      <w:r w:rsidRPr="00BF07D6">
        <w:t>Skills must have been demonstrated in the workplace or in a simulated environment that reflects workplace conditions.</w:t>
      </w:r>
    </w:p>
    <w:p w:rsidR="00000000" w:rsidRPr="00BF07D6" w:rsidP="003C6B9C">
      <w:pPr>
        <w:pStyle w:val="BodyText"/>
      </w:pPr>
      <w:r w:rsidRPr="00BF07D6">
        <w:t>Where simulation is used, it must reflect real working conditions by modelling industry operating conditions and contingencies, as well a</w:t>
      </w:r>
      <w:r w:rsidRPr="00BF07D6">
        <w:t>s using suitable facilities, equipment and resources.</w:t>
      </w:r>
    </w:p>
    <w:p w:rsidR="00000000" w:rsidRPr="00BF07D6" w:rsidP="003C6B9C">
      <w:pPr>
        <w:pStyle w:val="BodyText"/>
      </w:pPr>
      <w:r w:rsidRPr="00BF07D6">
        <w:t>The performance evidence requirement for performing clinical assessments and implementing basic clinical care for three patients must have been demonstrated using simulation before being demonstrated in</w:t>
      </w:r>
      <w:r w:rsidRPr="00BF07D6">
        <w:t xml:space="preserve"> the workplace and with members of the public.</w:t>
      </w:r>
    </w:p>
    <w:p w:rsidR="00000000" w:rsidRPr="00BF07D6" w:rsidP="003C6B9C">
      <w:pPr>
        <w:pStyle w:val="BodyText"/>
      </w:pPr>
      <w:r w:rsidRPr="00BF07D6">
        <w:t>Assessment must ensure access to suitable facilities, resources and equipment as per local governing body including:</w:t>
      </w:r>
    </w:p>
    <w:p w:rsidR="00000000" w:rsidRPr="00BF07D6" w:rsidP="00BF07D6">
      <w:pPr>
        <w:pStyle w:val="ListBullet"/>
      </w:pPr>
      <w:r w:rsidRPr="00BF07D6">
        <w:t>simulation with adult, child and infant manikins</w:t>
      </w:r>
    </w:p>
    <w:p w:rsidR="00000000" w:rsidRPr="00BF07D6" w:rsidP="00BF07D6">
      <w:pPr>
        <w:pStyle w:val="ListBullet"/>
      </w:pPr>
      <w:r w:rsidRPr="00BF07D6">
        <w:t>vital signs monitoring devices</w:t>
      </w:r>
    </w:p>
    <w:p w:rsidR="00000000" w:rsidRPr="00BF07D6" w:rsidP="00BF07D6">
      <w:pPr>
        <w:pStyle w:val="ListBullet"/>
      </w:pPr>
      <w:r w:rsidRPr="00BF07D6">
        <w:t>organisatio</w:t>
      </w:r>
      <w:r w:rsidRPr="00BF07D6">
        <w:t>nal policies and procedures and established clinical guidelines on which the candidate bases the planning process</w:t>
      </w:r>
    </w:p>
    <w:p w:rsidR="00000000" w:rsidRPr="00BF07D6" w:rsidP="00BF07D6">
      <w:pPr>
        <w:pStyle w:val="ListBullet"/>
      </w:pPr>
      <w:r w:rsidRPr="00BF07D6">
        <w:t>documents used for reporting.</w:t>
      </w:r>
    </w:p>
    <w:p w:rsidR="00000000" w:rsidRPr="00BF07D6" w:rsidP="003C6B9C">
      <w:pPr>
        <w:pStyle w:val="BodyText"/>
      </w:pPr>
      <w:r w:rsidRPr="00BF07D6">
        <w:t>Assessors must satisfy the Standards for Registered Training Organisations’ requirements for assessors.</w:t>
      </w:r>
    </w:p>
    <w:p w:rsidR="00000000" w:rsidRPr="00BF07D6" w:rsidP="00BF07D6">
      <w:pPr>
        <w:pStyle w:val="Heading1"/>
      </w:pPr>
      <w:bookmarkStart w:id="5" w:name="O_1165549"/>
      <w:bookmarkEnd w:id="5"/>
      <w:r w:rsidRPr="00BF07D6">
        <w:t>Links</w:t>
      </w:r>
    </w:p>
    <w:p w:rsidR="00000000" w:rsidRPr="00BF07D6" w:rsidP="003C6B9C">
      <w:pPr>
        <w:pStyle w:val="BodyText"/>
      </w:pPr>
      <w:r w:rsidRPr="00BF0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3059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F07D6" w:rsidP="00BF07D6"/>
    <w:sectPr w:rsidSect="00BF07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7D6" w:rsidRPr="003C6B9C" w:rsidP="003C6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9C" w:rsidP="00BF0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6B9C" w:rsidP="00BF0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6B9C" w:rsidP="00BF0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7D6" w:rsidRPr="003C6B9C" w:rsidP="003C6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9C" w:rsidRPr="002D2AF8" w:rsidP="00BF0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HLTOUT004 Assess and deliver basic clinical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C6B9C" w:rsidP="00BF0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744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60E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FCF1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7D6"/>
  </w:style>
  <w:style w:type="character" w:customStyle="1" w:styleId="Heading1Char">
    <w:name w:val="Heading 1 Char"/>
    <w:basedOn w:val="DefaultParagraphFont"/>
    <w:link w:val="Heading1"/>
    <w:rsid w:val="00BF0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7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7D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07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0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07D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0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7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07D6"/>
    <w:rPr>
      <w:b/>
      <w:spacing w:val="0"/>
    </w:rPr>
  </w:style>
  <w:style w:type="paragraph" w:customStyle="1" w:styleId="SuperTitle">
    <w:name w:val="SuperTitle"/>
    <w:basedOn w:val="Title"/>
    <w:rsid w:val="00BF0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0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7D6"/>
    <w:rPr>
      <w:i/>
    </w:rPr>
  </w:style>
  <w:style w:type="paragraph" w:styleId="Caption">
    <w:name w:val="caption"/>
    <w:basedOn w:val="BodyText"/>
    <w:next w:val="Normal"/>
    <w:qFormat/>
    <w:rsid w:val="00BF0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7D6"/>
  </w:style>
  <w:style w:type="paragraph" w:styleId="TableofFigures">
    <w:name w:val="table of figures"/>
    <w:basedOn w:val="Normal"/>
    <w:next w:val="Normal"/>
    <w:semiHidden/>
    <w:rsid w:val="00BF0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7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F07D6"/>
    <w:rPr>
      <w:rFonts w:ascii="Wingdings" w:hAnsi="Wingdings"/>
    </w:rPr>
  </w:style>
  <w:style w:type="paragraph" w:customStyle="1" w:styleId="TableHeading">
    <w:name w:val="Table Heading"/>
    <w:basedOn w:val="HeadingBase"/>
    <w:rsid w:val="00BF0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7D6"/>
    <w:rPr>
      <w:color w:val="0033CC"/>
      <w:u w:val="none"/>
    </w:rPr>
  </w:style>
  <w:style w:type="paragraph" w:customStyle="1" w:styleId="BodyTextRight">
    <w:name w:val="Body Text Right"/>
    <w:basedOn w:val="BodyText"/>
    <w:rsid w:val="00BF0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7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7D6"/>
    <w:rPr>
      <w:sz w:val="32"/>
    </w:rPr>
  </w:style>
  <w:style w:type="paragraph" w:customStyle="1" w:styleId="HeadingProcedure">
    <w:name w:val="Heading Procedure"/>
    <w:basedOn w:val="HeadingBase"/>
    <w:next w:val="Normal"/>
    <w:rsid w:val="00BF0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7D6"/>
    <w:pPr>
      <w:spacing w:before="60" w:after="60"/>
    </w:pPr>
  </w:style>
  <w:style w:type="paragraph" w:styleId="ListContinue">
    <w:name w:val="List Continue"/>
    <w:basedOn w:val="List"/>
    <w:rsid w:val="00BF07D6"/>
    <w:pPr>
      <w:ind w:firstLine="0"/>
    </w:pPr>
  </w:style>
  <w:style w:type="paragraph" w:customStyle="1" w:styleId="ListNote">
    <w:name w:val="List Note"/>
    <w:basedOn w:val="List"/>
    <w:rsid w:val="00BF0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7D6"/>
    <w:rPr>
      <w:rFonts w:ascii="Courier New" w:hAnsi="Courier New"/>
    </w:rPr>
  </w:style>
  <w:style w:type="paragraph" w:customStyle="1" w:styleId="NoteBullet">
    <w:name w:val="Note Bullet"/>
    <w:basedOn w:val="Note"/>
    <w:rsid w:val="00BF0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7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0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7D6"/>
    <w:rPr>
      <w:b/>
      <w:smallCaps/>
    </w:rPr>
  </w:style>
  <w:style w:type="paragraph" w:customStyle="1" w:styleId="TableListNumber">
    <w:name w:val="Table List Number"/>
    <w:basedOn w:val="ListNumber"/>
    <w:rsid w:val="00BF0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7D6"/>
    <w:pPr>
      <w:numPr>
        <w:numId w:val="10"/>
      </w:numPr>
    </w:pPr>
  </w:style>
  <w:style w:type="paragraph" w:customStyle="1" w:styleId="ListAlpha2">
    <w:name w:val="List Alpha 2"/>
    <w:basedOn w:val="List2"/>
    <w:rsid w:val="00BF07D6"/>
    <w:pPr>
      <w:numPr>
        <w:numId w:val="9"/>
      </w:numPr>
    </w:pPr>
  </w:style>
  <w:style w:type="paragraph" w:styleId="List2">
    <w:name w:val="List 2"/>
    <w:basedOn w:val="BodyText"/>
    <w:rsid w:val="00BF0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7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07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07D6"/>
    <w:pPr>
      <w:numPr>
        <w:numId w:val="5"/>
      </w:numPr>
    </w:pPr>
  </w:style>
  <w:style w:type="paragraph" w:styleId="ListContinue2">
    <w:name w:val="List Continue 2"/>
    <w:basedOn w:val="List2"/>
    <w:rsid w:val="00BF07D6"/>
    <w:pPr>
      <w:ind w:firstLine="0"/>
    </w:pPr>
  </w:style>
  <w:style w:type="paragraph" w:styleId="ListContinue3">
    <w:name w:val="List Continue 3"/>
    <w:basedOn w:val="List3"/>
    <w:rsid w:val="00BF07D6"/>
    <w:pPr>
      <w:ind w:left="1021" w:firstLine="0"/>
    </w:pPr>
  </w:style>
  <w:style w:type="paragraph" w:styleId="ListContinue4">
    <w:name w:val="List Continue 4"/>
    <w:basedOn w:val="List4"/>
    <w:rsid w:val="00BF07D6"/>
    <w:pPr>
      <w:ind w:firstLine="0"/>
    </w:pPr>
  </w:style>
  <w:style w:type="paragraph" w:styleId="ListContinue5">
    <w:name w:val="List Continue 5"/>
    <w:basedOn w:val="List5"/>
    <w:rsid w:val="00BF07D6"/>
    <w:pPr>
      <w:ind w:firstLine="0"/>
    </w:pPr>
  </w:style>
  <w:style w:type="paragraph" w:styleId="ListNumber3">
    <w:name w:val="List Number 3"/>
    <w:basedOn w:val="List3"/>
    <w:rsid w:val="00BF07D6"/>
    <w:pPr>
      <w:numPr>
        <w:numId w:val="6"/>
      </w:numPr>
    </w:pPr>
  </w:style>
  <w:style w:type="paragraph" w:styleId="ListNumber4">
    <w:name w:val="List Number 4"/>
    <w:basedOn w:val="List4"/>
    <w:rsid w:val="00BF07D6"/>
    <w:pPr>
      <w:numPr>
        <w:numId w:val="7"/>
      </w:numPr>
    </w:pPr>
  </w:style>
  <w:style w:type="paragraph" w:styleId="ListNumber5">
    <w:name w:val="List Number 5"/>
    <w:basedOn w:val="List5"/>
    <w:rsid w:val="00BF07D6"/>
    <w:pPr>
      <w:numPr>
        <w:numId w:val="8"/>
      </w:numPr>
    </w:pPr>
  </w:style>
  <w:style w:type="paragraph" w:styleId="BlockText">
    <w:name w:val="Block Text"/>
    <w:basedOn w:val="Normal"/>
    <w:rsid w:val="00BF0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7D6"/>
    <w:rPr>
      <w:sz w:val="16"/>
      <w:vertAlign w:val="superscript"/>
    </w:rPr>
  </w:style>
  <w:style w:type="character" w:customStyle="1" w:styleId="Symbols">
    <w:name w:val="Symbols"/>
    <w:basedOn w:val="DefaultParagraphFont"/>
    <w:rsid w:val="00BF07D6"/>
    <w:rPr>
      <w:rFonts w:ascii="Symbol" w:hAnsi="Symbol"/>
    </w:rPr>
  </w:style>
  <w:style w:type="character" w:customStyle="1" w:styleId="MenuOptions">
    <w:name w:val="Menu Options"/>
    <w:basedOn w:val="DefaultParagraphFont"/>
    <w:rsid w:val="00BF0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7D6"/>
    <w:rPr>
      <w:b/>
    </w:rPr>
  </w:style>
  <w:style w:type="character" w:customStyle="1" w:styleId="Underlined">
    <w:name w:val="Underlined"/>
    <w:basedOn w:val="DefaultParagraphFont"/>
    <w:rsid w:val="00BF07D6"/>
    <w:rPr>
      <w:u w:val="single"/>
    </w:rPr>
  </w:style>
  <w:style w:type="paragraph" w:customStyle="1" w:styleId="TableBodyTextRight">
    <w:name w:val="Table Body Text Right"/>
    <w:basedOn w:val="TableBodyText"/>
    <w:rsid w:val="00BF0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7D6"/>
    <w:rPr>
      <w:sz w:val="18"/>
    </w:rPr>
  </w:style>
  <w:style w:type="paragraph" w:customStyle="1" w:styleId="BodySmallRight">
    <w:name w:val="Body Small Right"/>
    <w:basedOn w:val="BodyTextRight"/>
    <w:rsid w:val="00BF07D6"/>
    <w:rPr>
      <w:sz w:val="18"/>
      <w:szCs w:val="18"/>
    </w:rPr>
  </w:style>
  <w:style w:type="paragraph" w:customStyle="1" w:styleId="MarginEdition">
    <w:name w:val="Margin Edition"/>
    <w:basedOn w:val="MarginNote"/>
    <w:rsid w:val="00BF0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7D6"/>
    <w:rPr>
      <w:sz w:val="2"/>
      <w:szCs w:val="2"/>
    </w:rPr>
  </w:style>
  <w:style w:type="character" w:customStyle="1" w:styleId="Small">
    <w:name w:val="Small"/>
    <w:basedOn w:val="DefaultParagraphFont"/>
    <w:rsid w:val="00BF07D6"/>
    <w:rPr>
      <w:sz w:val="16"/>
    </w:rPr>
  </w:style>
  <w:style w:type="paragraph" w:customStyle="1" w:styleId="WideTable">
    <w:name w:val="Wide Table"/>
    <w:basedOn w:val="Normal"/>
    <w:rsid w:val="00BF0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7D6"/>
  </w:style>
  <w:style w:type="paragraph" w:styleId="Quote">
    <w:name w:val="Quote"/>
    <w:basedOn w:val="Heading1"/>
    <w:link w:val="QuoteChar"/>
    <w:qFormat/>
    <w:rsid w:val="00BF0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7D6"/>
    <w:pPr>
      <w:pageBreakBefore/>
    </w:pPr>
  </w:style>
  <w:style w:type="paragraph" w:customStyle="1" w:styleId="Border">
    <w:name w:val="Border"/>
    <w:basedOn w:val="Normal"/>
    <w:qFormat/>
    <w:rsid w:val="00BF0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7D6"/>
    <w:rPr>
      <w:u w:val="single"/>
    </w:rPr>
  </w:style>
  <w:style w:type="character" w:customStyle="1" w:styleId="BoldandItalics">
    <w:name w:val="Bold and Italics"/>
    <w:qFormat/>
    <w:rsid w:val="00BF07D6"/>
    <w:rPr>
      <w:b/>
      <w:i/>
      <w:u w:val="none"/>
    </w:rPr>
  </w:style>
  <w:style w:type="paragraph" w:styleId="BalloonText">
    <w:name w:val="Balloon Text"/>
    <w:basedOn w:val="Normal"/>
    <w:link w:val="BalloonTextChar"/>
    <w:rsid w:val="00BF0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7D6"/>
    <w:pPr>
      <w:spacing w:before="0" w:after="0"/>
    </w:pPr>
  </w:style>
  <w:style w:type="paragraph" w:customStyle="1" w:styleId="BodyTextBold">
    <w:name w:val="Body Text Bold"/>
    <w:basedOn w:val="BodyText"/>
    <w:qFormat/>
    <w:rsid w:val="00BF07D6"/>
    <w:rPr>
      <w:b/>
    </w:rPr>
  </w:style>
  <w:style w:type="character" w:styleId="Hyperlink">
    <w:name w:val="Hyperlink"/>
    <w:basedOn w:val="DefaultParagraphFont"/>
    <w:uiPriority w:val="99"/>
    <w:unhideWhenUsed/>
    <w:rsid w:val="003C6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4620</Characters>
  <Application>Microsoft Office Word</Application>
  <DocSecurity>0</DocSecurity>
  <Lines>144</Lines>
  <Paragraphs>115</Paragraphs>
  <ScaleCrop>false</ScaleCrop>
  <Company>Author-it Software Corporation Ltd.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HLTOUT004 Assess and deliver basic clinical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2023-07-02T01:27:00Z</dcterms:created>
  <dcterms:modified xsi:type="dcterms:W3CDTF">2023-07-02T01:27:00Z</dcterms:modified>
</cp:coreProperties>
</file>