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77D" w:rsidP="00573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HLTOTH003 Remove casts</w:t>
      </w:r>
      <w:r>
        <w:fldChar w:fldCharType="end"/>
      </w:r>
    </w:p>
    <w:p w:rsidR="0057377D" w:rsidP="0057377D">
      <w:pPr>
        <w:pStyle w:val="Version"/>
        <w:sectPr w:rsidSect="00FA0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D70" w:rsidP="00FA0D70">
      <w:pPr>
        <w:pStyle w:val="SuperHeading"/>
      </w:pPr>
      <w:r w:rsidRPr="00FA0D70">
        <w:t>Assessment Requirements for HLTOTH003 Remove casts</w:t>
      </w:r>
    </w:p>
    <w:p w:rsidR="00000000" w:rsidRPr="00FA0D70" w:rsidP="00FA0D70">
      <w:pPr>
        <w:pStyle w:val="Heading1"/>
      </w:pPr>
      <w:bookmarkStart w:id="1" w:name="O_1199079"/>
      <w:bookmarkEnd w:id="1"/>
      <w:r w:rsidRPr="00FA0D70">
        <w:t>Modification History</w:t>
      </w:r>
    </w:p>
    <w:p w:rsidR="00000000" w:rsidRPr="00FA0D70" w:rsidP="0057377D">
      <w:pPr>
        <w:pStyle w:val="BodyText"/>
      </w:pPr>
      <w:r w:rsidRPr="00FA0D70">
        <w:t>No equivalent unit.</w:t>
      </w:r>
    </w:p>
    <w:p w:rsidR="00000000" w:rsidRPr="00FA0D70" w:rsidP="00FA0D70">
      <w:pPr>
        <w:pStyle w:val="Heading1"/>
      </w:pPr>
      <w:bookmarkStart w:id="2" w:name="O_1199080"/>
      <w:bookmarkEnd w:id="2"/>
      <w:r w:rsidRPr="00FA0D70">
        <w:t>Performance Evidence</w:t>
      </w:r>
    </w:p>
    <w:p w:rsidR="00000000" w:rsidRPr="00FA0D70" w:rsidP="0057377D">
      <w:pPr>
        <w:pStyle w:val="BodyText"/>
      </w:pPr>
      <w:r w:rsidRPr="00FA0D70">
        <w:t>Evidence of the ability to complete tasks outlined in elements and performance criteria of this unit in the context of the job role, and:</w:t>
      </w:r>
    </w:p>
    <w:p w:rsidR="00000000" w:rsidRPr="00FA0D70" w:rsidP="00FA0D70">
      <w:pPr>
        <w:pStyle w:val="ListBullet"/>
      </w:pPr>
      <w:r w:rsidRPr="00FA0D70">
        <w:t>remove one of each of the f</w:t>
      </w:r>
      <w:r w:rsidRPr="00FA0D70">
        <w:t>ollowing casts:</w:t>
      </w:r>
    </w:p>
    <w:p w:rsidR="00000000" w:rsidRPr="00FA0D70" w:rsidP="00FA0D70">
      <w:pPr>
        <w:pStyle w:val="ListBullet2"/>
      </w:pPr>
      <w:r w:rsidRPr="00FA0D70">
        <w:t xml:space="preserve">bivalve cast </w:t>
      </w:r>
    </w:p>
    <w:p w:rsidR="00000000" w:rsidRPr="00FA0D70" w:rsidP="00FA0D70">
      <w:pPr>
        <w:pStyle w:val="ListBullet2"/>
      </w:pPr>
      <w:r w:rsidRPr="00FA0D70">
        <w:t>fully circumferential</w:t>
      </w:r>
    </w:p>
    <w:p w:rsidR="00000000" w:rsidRPr="00FA0D70" w:rsidP="00FA0D70">
      <w:pPr>
        <w:pStyle w:val="ListBullet2"/>
      </w:pPr>
      <w:r w:rsidRPr="00FA0D70">
        <w:t>hip spica</w:t>
      </w:r>
    </w:p>
    <w:p w:rsidR="00000000" w:rsidRPr="00FA0D70" w:rsidP="00FA0D70">
      <w:pPr>
        <w:pStyle w:val="ListBullet2"/>
      </w:pPr>
      <w:r w:rsidRPr="00FA0D70">
        <w:t>slab</w:t>
      </w:r>
    </w:p>
    <w:p w:rsidR="00000000" w:rsidRPr="00FA0D70" w:rsidP="00FA0D70">
      <w:pPr>
        <w:pStyle w:val="ListBullet2"/>
      </w:pPr>
      <w:r w:rsidRPr="00FA0D70">
        <w:t>split cast.</w:t>
      </w:r>
    </w:p>
    <w:p w:rsidR="00000000" w:rsidRPr="00FA0D70" w:rsidP="0057377D">
      <w:pPr>
        <w:pStyle w:val="BodyText"/>
      </w:pPr>
      <w:r w:rsidRPr="00FA0D70">
        <w:t>The removal of each of the above must include:</w:t>
      </w:r>
    </w:p>
    <w:p w:rsidR="00000000" w:rsidRPr="00FA0D70" w:rsidP="00FA0D70">
      <w:pPr>
        <w:pStyle w:val="ListBullet"/>
      </w:pPr>
      <w:r w:rsidRPr="00FA0D70">
        <w:t>interpreting referrals, sourcing information, liaising with the healthcare team and following instructions within the healthcare</w:t>
      </w:r>
      <w:r w:rsidRPr="00FA0D70">
        <w:t xml:space="preserve"> setting</w:t>
      </w:r>
    </w:p>
    <w:p w:rsidR="00000000" w:rsidRPr="00FA0D70" w:rsidP="00FA0D70">
      <w:pPr>
        <w:pStyle w:val="ListBullet"/>
      </w:pPr>
      <w:r w:rsidRPr="00FA0D70">
        <w:t>reviewing, treating, advising and referring clients:</w:t>
      </w:r>
    </w:p>
    <w:p w:rsidR="00000000" w:rsidRPr="00FA0D70" w:rsidP="00FA0D70">
      <w:pPr>
        <w:pStyle w:val="ListBullet2"/>
      </w:pPr>
      <w:r w:rsidRPr="00FA0D70">
        <w:t>paediatrics</w:t>
      </w:r>
    </w:p>
    <w:p w:rsidR="00000000" w:rsidRPr="00FA0D70" w:rsidP="00FA0D70">
      <w:pPr>
        <w:pStyle w:val="ListBullet2"/>
      </w:pPr>
      <w:r w:rsidRPr="00FA0D70">
        <w:t>adults</w:t>
      </w:r>
    </w:p>
    <w:p w:rsidR="00000000" w:rsidRPr="00FA0D70" w:rsidP="00FA0D70">
      <w:pPr>
        <w:pStyle w:val="ListBullet"/>
      </w:pPr>
      <w:r w:rsidRPr="00FA0D70">
        <w:t>selecting, using and maintaining equipment:</w:t>
      </w:r>
    </w:p>
    <w:p w:rsidR="00000000" w:rsidRPr="00FA0D70" w:rsidP="00FA0D70">
      <w:pPr>
        <w:pStyle w:val="ListBullet2"/>
      </w:pPr>
      <w:r w:rsidRPr="00FA0D70">
        <w:t xml:space="preserve">benders and cast breakers </w:t>
      </w:r>
    </w:p>
    <w:p w:rsidR="00000000" w:rsidRPr="00FA0D70" w:rsidP="00FA0D70">
      <w:pPr>
        <w:pStyle w:val="ListBullet2"/>
      </w:pPr>
      <w:r w:rsidRPr="00FA0D70">
        <w:t>eye protection equipment</w:t>
      </w:r>
    </w:p>
    <w:p w:rsidR="00000000" w:rsidRPr="00FA0D70" w:rsidP="00FA0D70">
      <w:pPr>
        <w:pStyle w:val="ListBullet2"/>
      </w:pPr>
      <w:r w:rsidRPr="00FA0D70">
        <w:t>hearing protection</w:t>
      </w:r>
    </w:p>
    <w:p w:rsidR="00000000" w:rsidRPr="00FA0D70" w:rsidP="00FA0D70">
      <w:pPr>
        <w:pStyle w:val="ListBullet2"/>
      </w:pPr>
      <w:r w:rsidRPr="00FA0D70">
        <w:t xml:space="preserve">plaster cutting strip </w:t>
      </w:r>
    </w:p>
    <w:p w:rsidR="00000000" w:rsidRPr="00FA0D70" w:rsidP="00FA0D70">
      <w:pPr>
        <w:pStyle w:val="ListBullet2"/>
      </w:pPr>
      <w:r w:rsidRPr="00FA0D70">
        <w:t>saw with vacuum</w:t>
      </w:r>
    </w:p>
    <w:p w:rsidR="00000000" w:rsidRPr="00FA0D70" w:rsidP="00FA0D70">
      <w:pPr>
        <w:pStyle w:val="ListBullet2"/>
      </w:pPr>
      <w:r w:rsidRPr="00FA0D70">
        <w:t>scissors</w:t>
      </w:r>
    </w:p>
    <w:p w:rsidR="00000000" w:rsidRPr="00FA0D70" w:rsidP="00FA0D70">
      <w:pPr>
        <w:pStyle w:val="ListBullet2"/>
      </w:pPr>
      <w:r w:rsidRPr="00FA0D70">
        <w:t>shears</w:t>
      </w:r>
    </w:p>
    <w:p w:rsidR="00000000" w:rsidRPr="00FA0D70" w:rsidP="00FA0D70">
      <w:pPr>
        <w:pStyle w:val="ListBullet2"/>
      </w:pPr>
      <w:r w:rsidRPr="00FA0D70">
        <w:t>spreaders</w:t>
      </w:r>
    </w:p>
    <w:p w:rsidR="00000000" w:rsidRPr="00FA0D70" w:rsidP="00FA0D70">
      <w:pPr>
        <w:pStyle w:val="ListBullet"/>
      </w:pPr>
      <w:r w:rsidRPr="00FA0D70">
        <w:t>documenting clinical records.</w:t>
      </w:r>
    </w:p>
    <w:p w:rsidR="00000000" w:rsidRPr="00FA0D70" w:rsidP="00FA0D70">
      <w:pPr>
        <w:pStyle w:val="AllowPageBreak"/>
      </w:pPr>
    </w:p>
    <w:p w:rsidR="00000000" w:rsidRPr="00FA0D70" w:rsidP="00FA0D70">
      <w:pPr>
        <w:pStyle w:val="Heading1"/>
      </w:pPr>
      <w:bookmarkStart w:id="3" w:name="O_1199081"/>
      <w:bookmarkEnd w:id="3"/>
      <w:r w:rsidRPr="00FA0D70">
        <w:t>Knowledge Evidence</w:t>
      </w:r>
    </w:p>
    <w:p w:rsidR="00000000" w:rsidRPr="00FA0D70" w:rsidP="0057377D">
      <w:pPr>
        <w:pStyle w:val="BodyText"/>
      </w:pPr>
      <w:r w:rsidRPr="00FA0D70">
        <w:t>Demonstrated knowledge required to complete the tasks outlined in elements and performance criteria of this unit:</w:t>
      </w:r>
    </w:p>
    <w:p w:rsidR="00000000" w:rsidRPr="00FA0D70" w:rsidP="00FA0D70">
      <w:pPr>
        <w:pStyle w:val="ListBullet"/>
      </w:pPr>
      <w:r w:rsidRPr="00FA0D70">
        <w:t>procedures relevant to cast removal:</w:t>
      </w:r>
    </w:p>
    <w:p w:rsidR="00000000" w:rsidRPr="00FA0D70" w:rsidP="00FA0D70">
      <w:pPr>
        <w:pStyle w:val="ListBullet2"/>
      </w:pPr>
      <w:r w:rsidRPr="00FA0D70">
        <w:t>client confidentiality and privacy</w:t>
      </w:r>
    </w:p>
    <w:p w:rsidR="00000000" w:rsidRPr="00FA0D70" w:rsidP="00FA0D70">
      <w:pPr>
        <w:pStyle w:val="ListBullet2"/>
      </w:pPr>
      <w:r w:rsidRPr="00FA0D70">
        <w:t>client consent</w:t>
      </w:r>
    </w:p>
    <w:p w:rsidR="00000000" w:rsidRPr="00FA0D70" w:rsidP="00FA0D70">
      <w:pPr>
        <w:pStyle w:val="ListBullet2"/>
      </w:pPr>
      <w:r w:rsidRPr="00FA0D70">
        <w:t>duty of care</w:t>
      </w:r>
    </w:p>
    <w:p w:rsidR="00000000" w:rsidRPr="00FA0D70" w:rsidP="00FA0D70">
      <w:pPr>
        <w:pStyle w:val="ListBullet2"/>
      </w:pPr>
      <w:r w:rsidRPr="00FA0D70">
        <w:t>infection control</w:t>
      </w:r>
    </w:p>
    <w:p w:rsidR="00000000" w:rsidRPr="00FA0D70" w:rsidP="00FA0D70">
      <w:pPr>
        <w:pStyle w:val="ListBullet2"/>
      </w:pPr>
      <w:r w:rsidRPr="00FA0D70">
        <w:t>inventory</w:t>
      </w:r>
    </w:p>
    <w:p w:rsidR="00000000" w:rsidRPr="00FA0D70" w:rsidP="00FA0D70">
      <w:pPr>
        <w:pStyle w:val="ListBullet2"/>
      </w:pPr>
      <w:r w:rsidRPr="00FA0D70">
        <w:t>work health and safety</w:t>
      </w:r>
    </w:p>
    <w:p w:rsidR="00000000" w:rsidRPr="00FA0D70" w:rsidP="00FA0D70">
      <w:pPr>
        <w:pStyle w:val="ListBullet"/>
      </w:pPr>
      <w:r w:rsidRPr="00FA0D70">
        <w:t>role and responsibilities and boundaries of responsibilities relevant to cast removal</w:t>
      </w:r>
    </w:p>
    <w:p w:rsidR="00000000" w:rsidRPr="00FA0D70" w:rsidP="00FA0D70">
      <w:pPr>
        <w:pStyle w:val="ListBullet"/>
      </w:pPr>
      <w:r w:rsidRPr="00FA0D70">
        <w:t>anatomy and physiology relevant to cast removal</w:t>
      </w:r>
    </w:p>
    <w:p w:rsidR="00000000" w:rsidRPr="00FA0D70" w:rsidP="00FA0D70">
      <w:pPr>
        <w:pStyle w:val="ListBullet"/>
      </w:pPr>
      <w:r w:rsidRPr="00FA0D70">
        <w:t>methods</w:t>
      </w:r>
      <w:r w:rsidRPr="00FA0D70">
        <w:t xml:space="preserve"> for interpreting radiological findings and features of x-rays, CT scans and MRI scans relating to casts and the presenting condition</w:t>
      </w:r>
    </w:p>
    <w:p w:rsidR="00000000" w:rsidRPr="00FA0D70" w:rsidP="00FA0D70">
      <w:pPr>
        <w:pStyle w:val="ListBullet"/>
      </w:pPr>
      <w:r w:rsidRPr="00FA0D70">
        <w:t>conditions for referral of clients for immediate review by a medical practitioner:</w:t>
      </w:r>
    </w:p>
    <w:p w:rsidR="00000000" w:rsidRPr="00FA0D70" w:rsidP="00FA0D70">
      <w:pPr>
        <w:pStyle w:val="ListBullet2"/>
      </w:pPr>
      <w:r w:rsidRPr="00FA0D70">
        <w:t>evidence of infection</w:t>
      </w:r>
    </w:p>
    <w:p w:rsidR="00000000" w:rsidRPr="00FA0D70" w:rsidP="00FA0D70">
      <w:pPr>
        <w:pStyle w:val="ListBullet2"/>
      </w:pPr>
      <w:r w:rsidRPr="00FA0D70">
        <w:t>intense localised pain</w:t>
      </w:r>
    </w:p>
    <w:p w:rsidR="00000000" w:rsidRPr="00FA0D70" w:rsidP="00FA0D70">
      <w:pPr>
        <w:pStyle w:val="ListBullet2"/>
      </w:pPr>
      <w:r w:rsidRPr="00FA0D70">
        <w:t>neurovascular status outside normal limits</w:t>
      </w:r>
    </w:p>
    <w:p w:rsidR="00000000" w:rsidRPr="00FA0D70" w:rsidP="00FA0D70">
      <w:pPr>
        <w:pStyle w:val="ListBullet2"/>
      </w:pPr>
      <w:r w:rsidRPr="00FA0D70">
        <w:t>wound breakdown and deterioration</w:t>
      </w:r>
    </w:p>
    <w:p w:rsidR="00000000" w:rsidRPr="00FA0D70" w:rsidP="00FA0D70">
      <w:pPr>
        <w:pStyle w:val="ListBullet"/>
      </w:pPr>
      <w:r w:rsidRPr="00FA0D70">
        <w:t>individual client needs:</w:t>
      </w:r>
    </w:p>
    <w:p w:rsidR="00000000" w:rsidRPr="00FA0D70" w:rsidP="00FA0D70">
      <w:pPr>
        <w:pStyle w:val="ListBullet2"/>
      </w:pPr>
      <w:r w:rsidRPr="00FA0D70">
        <w:t>developmental stage including paediatrics and adults</w:t>
      </w:r>
    </w:p>
    <w:p w:rsidR="00000000" w:rsidRPr="00FA0D70" w:rsidP="00FA0D70">
      <w:pPr>
        <w:pStyle w:val="ListBullet2"/>
      </w:pPr>
      <w:r w:rsidRPr="00FA0D70">
        <w:t>in clients and out clients</w:t>
      </w:r>
    </w:p>
    <w:p w:rsidR="00000000" w:rsidRPr="00FA0D70" w:rsidP="00FA0D70">
      <w:pPr>
        <w:pStyle w:val="ListBullet2"/>
      </w:pPr>
      <w:r w:rsidRPr="00FA0D70">
        <w:t>functional requirements and restrictions</w:t>
      </w:r>
    </w:p>
    <w:p w:rsidR="00000000" w:rsidRPr="00FA0D70" w:rsidP="00FA0D70">
      <w:pPr>
        <w:pStyle w:val="ListBullet2"/>
      </w:pPr>
      <w:r w:rsidRPr="00FA0D70">
        <w:t>mobilisa</w:t>
      </w:r>
      <w:r w:rsidRPr="00FA0D70">
        <w:t>tion difficulties and restrictions</w:t>
      </w:r>
    </w:p>
    <w:p w:rsidR="00000000" w:rsidRPr="00FA0D70" w:rsidP="00FA0D70">
      <w:pPr>
        <w:pStyle w:val="ListBullet2"/>
      </w:pPr>
      <w:r w:rsidRPr="00FA0D70">
        <w:t>level of anxiety</w:t>
      </w:r>
    </w:p>
    <w:p w:rsidR="00000000" w:rsidRPr="00FA0D70" w:rsidP="00FA0D70">
      <w:pPr>
        <w:pStyle w:val="ListBullet2"/>
      </w:pPr>
      <w:r w:rsidRPr="00FA0D70">
        <w:t>physical anomalies</w:t>
      </w:r>
    </w:p>
    <w:p w:rsidR="00000000" w:rsidRPr="00FA0D70" w:rsidP="00FA0D70">
      <w:pPr>
        <w:pStyle w:val="ListBullet2"/>
      </w:pPr>
      <w:r w:rsidRPr="00FA0D70">
        <w:t>religious and cultural beliefs</w:t>
      </w:r>
    </w:p>
    <w:p w:rsidR="00000000" w:rsidRPr="00FA0D70" w:rsidP="00FA0D70">
      <w:pPr>
        <w:pStyle w:val="ListBullet2"/>
      </w:pPr>
      <w:r w:rsidRPr="00FA0D70">
        <w:t xml:space="preserve">environment and climate </w:t>
      </w:r>
    </w:p>
    <w:p w:rsidR="00000000" w:rsidRPr="00FA0D70" w:rsidP="00FA0D70">
      <w:pPr>
        <w:pStyle w:val="ListBullet"/>
      </w:pPr>
      <w:r w:rsidRPr="00FA0D70">
        <w:t>pathology and assessment of client conditions:</w:t>
      </w:r>
    </w:p>
    <w:p w:rsidR="00000000" w:rsidRPr="00FA0D70" w:rsidP="00FA0D70">
      <w:pPr>
        <w:pStyle w:val="ListBullet2"/>
      </w:pPr>
      <w:r w:rsidRPr="00FA0D70">
        <w:t>allergies</w:t>
      </w:r>
    </w:p>
    <w:p w:rsidR="00000000" w:rsidRPr="00FA0D70" w:rsidP="00FA0D70">
      <w:pPr>
        <w:pStyle w:val="ListBullet2"/>
      </w:pPr>
      <w:r w:rsidRPr="00FA0D70">
        <w:t>Deep Vein Thrombosis (DVT)</w:t>
      </w:r>
    </w:p>
    <w:p w:rsidR="00000000" w:rsidRPr="00FA0D70" w:rsidP="00FA0D70">
      <w:pPr>
        <w:pStyle w:val="ListBullet2"/>
      </w:pPr>
      <w:r w:rsidRPr="00FA0D70">
        <w:t>Complex Regional Pain Syndrome (CRPS)</w:t>
      </w:r>
    </w:p>
    <w:p w:rsidR="00000000" w:rsidRPr="00FA0D70" w:rsidP="00FA0D70">
      <w:pPr>
        <w:pStyle w:val="ListBullet2"/>
      </w:pPr>
      <w:r w:rsidRPr="00FA0D70">
        <w:t>mechanism of injury</w:t>
      </w:r>
    </w:p>
    <w:p w:rsidR="00000000" w:rsidRPr="00FA0D70" w:rsidP="00FA0D70">
      <w:pPr>
        <w:pStyle w:val="ListBullet2"/>
      </w:pPr>
      <w:r w:rsidRPr="00FA0D70">
        <w:t>interference</w:t>
      </w:r>
    </w:p>
    <w:p w:rsidR="00000000" w:rsidRPr="00FA0D70" w:rsidP="00FA0D70">
      <w:pPr>
        <w:pStyle w:val="ListBullet2"/>
      </w:pPr>
      <w:r w:rsidRPr="00FA0D70">
        <w:t>non-union fracture</w:t>
      </w:r>
    </w:p>
    <w:p w:rsidR="00000000" w:rsidRPr="00FA0D70" w:rsidP="00FA0D70">
      <w:pPr>
        <w:pStyle w:val="ListBullet2"/>
      </w:pPr>
      <w:r w:rsidRPr="00FA0D70">
        <w:t>oedematous extremity</w:t>
      </w:r>
    </w:p>
    <w:p w:rsidR="00000000" w:rsidRPr="00FA0D70" w:rsidP="00FA0D70">
      <w:pPr>
        <w:pStyle w:val="ListBullet2"/>
      </w:pPr>
      <w:r w:rsidRPr="00FA0D70">
        <w:t>wires, pins, external fixatures and surgical wounds</w:t>
      </w:r>
    </w:p>
    <w:p w:rsidR="00000000" w:rsidRPr="00FA0D70" w:rsidP="00FA0D70">
      <w:pPr>
        <w:pStyle w:val="ListBullet2"/>
      </w:pPr>
      <w:r w:rsidRPr="00FA0D70">
        <w:t>medical history and co-morbidities</w:t>
      </w:r>
    </w:p>
    <w:p w:rsidR="00000000" w:rsidRPr="00FA0D70" w:rsidP="00FA0D70">
      <w:pPr>
        <w:pStyle w:val="ListBullet2"/>
      </w:pPr>
      <w:r w:rsidRPr="00FA0D70">
        <w:t>skin condition including oedema, blisters, pressure areas, broken skin, fragile skin and wound b</w:t>
      </w:r>
      <w:r w:rsidRPr="00FA0D70">
        <w:t>reakdown</w:t>
      </w:r>
    </w:p>
    <w:p w:rsidR="00000000" w:rsidRPr="00FA0D70" w:rsidP="00FA0D70">
      <w:pPr>
        <w:pStyle w:val="ListBullet"/>
      </w:pPr>
      <w:r w:rsidRPr="00FA0D70">
        <w:t>contraindication types, characteristics and resolution:</w:t>
      </w:r>
    </w:p>
    <w:p w:rsidR="00000000" w:rsidRPr="00FA0D70" w:rsidP="00FA0D70">
      <w:pPr>
        <w:pStyle w:val="ListBullet2"/>
      </w:pPr>
      <w:r w:rsidRPr="00FA0D70">
        <w:t>unstable fracture</w:t>
      </w:r>
    </w:p>
    <w:p w:rsidR="00000000" w:rsidRPr="00FA0D70" w:rsidP="00FA0D70">
      <w:pPr>
        <w:pStyle w:val="ListBullet"/>
      </w:pPr>
      <w:r w:rsidRPr="00FA0D70">
        <w:t>complication types, characteristics and resolution:</w:t>
      </w:r>
    </w:p>
    <w:p w:rsidR="00000000" w:rsidRPr="00FA0D70" w:rsidP="00FA0D70">
      <w:pPr>
        <w:pStyle w:val="ListBullet2"/>
      </w:pPr>
      <w:r w:rsidRPr="00FA0D70">
        <w:t>breaking skin integrity</w:t>
      </w:r>
    </w:p>
    <w:p w:rsidR="00000000" w:rsidRPr="00FA0D70" w:rsidP="00FA0D70">
      <w:pPr>
        <w:pStyle w:val="ListBullet2"/>
      </w:pPr>
      <w:r w:rsidRPr="00FA0D70">
        <w:t xml:space="preserve">burning feeling in skin </w:t>
      </w:r>
    </w:p>
    <w:p w:rsidR="00000000" w:rsidRPr="00FA0D70" w:rsidP="00FA0D70">
      <w:pPr>
        <w:pStyle w:val="ListBullet"/>
      </w:pPr>
      <w:r w:rsidRPr="00FA0D70">
        <w:t>cast modification equipment purpose, selection, safe use and mainte</w:t>
      </w:r>
      <w:r w:rsidRPr="00FA0D70">
        <w:t>nance:</w:t>
      </w:r>
    </w:p>
    <w:p w:rsidR="00000000" w:rsidRPr="00FA0D70" w:rsidP="00FA0D70">
      <w:pPr>
        <w:pStyle w:val="ListBullet2"/>
      </w:pPr>
      <w:r w:rsidRPr="00FA0D70">
        <w:t xml:space="preserve">benders and cast breakers </w:t>
      </w:r>
    </w:p>
    <w:p w:rsidR="00000000" w:rsidRPr="00FA0D70" w:rsidP="00FA0D70">
      <w:pPr>
        <w:pStyle w:val="ListBullet2"/>
      </w:pPr>
      <w:r w:rsidRPr="00FA0D70">
        <w:t>eye protection equipment</w:t>
      </w:r>
    </w:p>
    <w:p w:rsidR="00000000" w:rsidRPr="00FA0D70" w:rsidP="00FA0D70">
      <w:pPr>
        <w:pStyle w:val="ListBullet2"/>
      </w:pPr>
      <w:r w:rsidRPr="00FA0D70">
        <w:t>hearing protection</w:t>
      </w:r>
    </w:p>
    <w:p w:rsidR="00000000" w:rsidRPr="00FA0D70" w:rsidP="00FA0D70">
      <w:pPr>
        <w:pStyle w:val="ListBullet2"/>
      </w:pPr>
      <w:r w:rsidRPr="00FA0D70">
        <w:t xml:space="preserve">plaster cutting strip </w:t>
      </w:r>
    </w:p>
    <w:p w:rsidR="00000000" w:rsidRPr="00FA0D70" w:rsidP="00FA0D70">
      <w:pPr>
        <w:pStyle w:val="ListBullet2"/>
      </w:pPr>
      <w:r w:rsidRPr="00FA0D70">
        <w:t>saw with vacuum</w:t>
      </w:r>
    </w:p>
    <w:p w:rsidR="00000000" w:rsidRPr="00FA0D70" w:rsidP="00FA0D70">
      <w:pPr>
        <w:pStyle w:val="ListBullet2"/>
      </w:pPr>
      <w:r w:rsidRPr="00FA0D70">
        <w:t>scissors</w:t>
      </w:r>
    </w:p>
    <w:p w:rsidR="00000000" w:rsidRPr="00FA0D70" w:rsidP="00FA0D70">
      <w:pPr>
        <w:pStyle w:val="ListBullet2"/>
      </w:pPr>
      <w:r w:rsidRPr="00FA0D70">
        <w:t>shears</w:t>
      </w:r>
    </w:p>
    <w:p w:rsidR="00000000" w:rsidRPr="00FA0D70" w:rsidP="00FA0D70">
      <w:pPr>
        <w:pStyle w:val="ListBullet2"/>
      </w:pPr>
      <w:r w:rsidRPr="00FA0D70">
        <w:t>spreaders</w:t>
      </w:r>
    </w:p>
    <w:p w:rsidR="00000000" w:rsidRPr="00FA0D70" w:rsidP="00FA0D70">
      <w:pPr>
        <w:pStyle w:val="ListBullet"/>
      </w:pPr>
      <w:r w:rsidRPr="00FA0D70">
        <w:t>cast removal techniques:</w:t>
      </w:r>
    </w:p>
    <w:p w:rsidR="00000000" w:rsidRPr="00FA0D70" w:rsidP="00FA0D70">
      <w:pPr>
        <w:pStyle w:val="ListBullet2"/>
      </w:pPr>
      <w:r w:rsidRPr="00FA0D70">
        <w:t xml:space="preserve">anatomical positioning </w:t>
      </w:r>
    </w:p>
    <w:p w:rsidR="00000000" w:rsidRPr="00FA0D70" w:rsidP="00FA0D70">
      <w:pPr>
        <w:pStyle w:val="ListBullet2"/>
      </w:pPr>
      <w:r w:rsidRPr="00FA0D70">
        <w:t>fully circumferential</w:t>
      </w:r>
    </w:p>
    <w:p w:rsidR="00000000" w:rsidRPr="00FA0D70" w:rsidP="00FA0D70">
      <w:pPr>
        <w:pStyle w:val="ListBullet2"/>
      </w:pPr>
      <w:r w:rsidRPr="00FA0D70">
        <w:t>hip spica</w:t>
      </w:r>
    </w:p>
    <w:p w:rsidR="00000000" w:rsidRPr="00FA0D70" w:rsidP="00FA0D70">
      <w:pPr>
        <w:pStyle w:val="ListBullet2"/>
      </w:pPr>
      <w:r w:rsidRPr="00FA0D70">
        <w:t>slab</w:t>
      </w:r>
    </w:p>
    <w:p w:rsidR="00000000" w:rsidRPr="00FA0D70" w:rsidP="00FA0D70">
      <w:pPr>
        <w:pStyle w:val="ListBullet2"/>
      </w:pPr>
      <w:r w:rsidRPr="00FA0D70">
        <w:t xml:space="preserve">split cast </w:t>
      </w:r>
    </w:p>
    <w:p w:rsidR="00000000" w:rsidRPr="00FA0D70" w:rsidP="00FA0D70">
      <w:pPr>
        <w:pStyle w:val="ListBullet2"/>
      </w:pPr>
      <w:r w:rsidRPr="00FA0D70">
        <w:t>bivalve cast</w:t>
      </w:r>
    </w:p>
    <w:p w:rsidR="00000000" w:rsidRPr="00FA0D70" w:rsidP="00FA0D70">
      <w:pPr>
        <w:pStyle w:val="ListBullet"/>
      </w:pPr>
      <w:r w:rsidRPr="00FA0D70">
        <w:t>types of client advice:</w:t>
      </w:r>
    </w:p>
    <w:p w:rsidR="00000000" w:rsidRPr="00FA0D70" w:rsidP="00FA0D70">
      <w:pPr>
        <w:pStyle w:val="ListBullet2"/>
      </w:pPr>
      <w:r w:rsidRPr="00FA0D70">
        <w:t xml:space="preserve">limb care and neurovascular warnings </w:t>
      </w:r>
    </w:p>
    <w:p w:rsidR="00000000" w:rsidRPr="00FA0D70" w:rsidP="00FA0D70">
      <w:pPr>
        <w:pStyle w:val="ListBullet2"/>
      </w:pPr>
      <w:r w:rsidRPr="00FA0D70">
        <w:t>mobilisation exercises and routines</w:t>
      </w:r>
    </w:p>
    <w:p w:rsidR="00000000" w:rsidRPr="00FA0D70" w:rsidP="00FA0D70">
      <w:pPr>
        <w:pStyle w:val="ListBullet2"/>
      </w:pPr>
      <w:r w:rsidRPr="00FA0D70">
        <w:t>oedema control</w:t>
      </w:r>
    </w:p>
    <w:p w:rsidR="00000000" w:rsidRPr="00FA0D70" w:rsidP="00FA0D70">
      <w:pPr>
        <w:pStyle w:val="ListBullet2"/>
      </w:pPr>
      <w:r w:rsidRPr="00FA0D70">
        <w:t xml:space="preserve">fitness to drive </w:t>
      </w:r>
    </w:p>
    <w:p w:rsidR="00000000" w:rsidRPr="00FA0D70" w:rsidP="00FA0D70">
      <w:pPr>
        <w:pStyle w:val="ListBullet2"/>
      </w:pPr>
      <w:r w:rsidRPr="00FA0D70">
        <w:t>weight bearing status</w:t>
      </w:r>
    </w:p>
    <w:p w:rsidR="00000000" w:rsidRPr="00FA0D70" w:rsidP="00FA0D70">
      <w:pPr>
        <w:pStyle w:val="ListBullet2"/>
      </w:pPr>
      <w:r w:rsidRPr="00FA0D70">
        <w:t xml:space="preserve">safe use of aides </w:t>
      </w:r>
    </w:p>
    <w:p w:rsidR="00000000" w:rsidRPr="00FA0D70" w:rsidP="00FA0D70">
      <w:pPr>
        <w:pStyle w:val="ListBullet"/>
      </w:pPr>
      <w:r w:rsidRPr="00FA0D70">
        <w:t>clinical record requirements</w:t>
      </w:r>
    </w:p>
    <w:p w:rsidR="00000000" w:rsidRPr="00FA0D70" w:rsidP="00FA0D70">
      <w:pPr>
        <w:pStyle w:val="ListBullet"/>
      </w:pPr>
      <w:r w:rsidRPr="00FA0D70">
        <w:t xml:space="preserve">medical terminology relevant to cast removal. </w:t>
      </w:r>
    </w:p>
    <w:p w:rsidR="00000000" w:rsidRPr="00FA0D70" w:rsidP="00FA0D70">
      <w:pPr>
        <w:pStyle w:val="AllowPageBreak"/>
      </w:pPr>
    </w:p>
    <w:p w:rsidR="00000000" w:rsidRPr="00FA0D70" w:rsidP="00FA0D70">
      <w:pPr>
        <w:pStyle w:val="Heading1"/>
      </w:pPr>
      <w:bookmarkStart w:id="4" w:name="O_1199082"/>
      <w:bookmarkEnd w:id="4"/>
      <w:r w:rsidRPr="00FA0D70">
        <w:t>Assessment Conditions</w:t>
      </w:r>
    </w:p>
    <w:p w:rsidR="00000000" w:rsidRPr="00FA0D70" w:rsidP="0057377D">
      <w:pPr>
        <w:pStyle w:val="BodyText"/>
      </w:pPr>
      <w:r w:rsidRPr="00FA0D70">
        <w:t>Skills must be demonstrated in a real workplace with real patients in a clinical environment with the addition of simulations and scenarios with real people where the full range of contexts and situations cannot be p</w:t>
      </w:r>
      <w:r w:rsidRPr="00FA0D70">
        <w:t>rovided in the workplace.</w:t>
      </w:r>
    </w:p>
    <w:p w:rsidR="00000000" w:rsidRPr="00FA0D70" w:rsidP="0057377D">
      <w:pPr>
        <w:pStyle w:val="BodyText"/>
      </w:pPr>
      <w:r w:rsidRPr="00FA0D70">
        <w:t xml:space="preserve">Where simulation is used, it must reflect real working conditions in a clinical environment by modelling industry operating conditions and contingencies, as well as using suitable facilities, equipment and resources. </w:t>
      </w:r>
    </w:p>
    <w:p w:rsidR="00000000" w:rsidRPr="00FA0D70" w:rsidP="0057377D">
      <w:pPr>
        <w:pStyle w:val="BodyText"/>
      </w:pPr>
      <w:r w:rsidRPr="00FA0D70">
        <w:t>Assessment m</w:t>
      </w:r>
      <w:r w:rsidRPr="00FA0D70">
        <w:t>ust ensure use of:</w:t>
      </w:r>
    </w:p>
    <w:p w:rsidR="00000000" w:rsidRPr="00FA0D70" w:rsidP="00FA0D70">
      <w:pPr>
        <w:pStyle w:val="ListBullet"/>
      </w:pPr>
      <w:r w:rsidRPr="00FA0D70">
        <w:t>procedures relevant to cast removal</w:t>
      </w:r>
    </w:p>
    <w:p w:rsidR="00000000" w:rsidRPr="00FA0D70" w:rsidP="00FA0D70">
      <w:pPr>
        <w:pStyle w:val="ListBullet"/>
      </w:pPr>
      <w:r w:rsidRPr="00FA0D70">
        <w:t>clients listed in the Performance Evidence</w:t>
      </w:r>
    </w:p>
    <w:p w:rsidR="00000000" w:rsidRPr="00FA0D70" w:rsidP="00FA0D70">
      <w:pPr>
        <w:pStyle w:val="ListBullet"/>
      </w:pPr>
      <w:r w:rsidRPr="00FA0D70">
        <w:t>equipment listed in the Performance Evidence</w:t>
      </w:r>
    </w:p>
    <w:p w:rsidR="00000000" w:rsidRPr="00FA0D70" w:rsidP="00FA0D70">
      <w:pPr>
        <w:pStyle w:val="ListBullet"/>
      </w:pPr>
      <w:r w:rsidRPr="00FA0D70">
        <w:t>aids listed in the Performance Evidence</w:t>
      </w:r>
    </w:p>
    <w:p w:rsidR="00000000" w:rsidRPr="00FA0D70" w:rsidP="00FA0D70">
      <w:pPr>
        <w:pStyle w:val="ListBullet"/>
      </w:pPr>
      <w:r w:rsidRPr="00FA0D70">
        <w:t>personal protective equipment (PPE)</w:t>
      </w:r>
    </w:p>
    <w:p w:rsidR="00000000" w:rsidRPr="00FA0D70" w:rsidP="00FA0D70">
      <w:pPr>
        <w:pStyle w:val="ListBullet"/>
      </w:pPr>
      <w:r w:rsidRPr="00FA0D70">
        <w:t>manufacturer’</w:t>
      </w:r>
      <w:r w:rsidRPr="00FA0D70">
        <w:t>s instructions for all equipment and materials.</w:t>
      </w:r>
    </w:p>
    <w:p w:rsidR="00000000" w:rsidRPr="00FA0D70" w:rsidP="0057377D">
      <w:pPr>
        <w:pStyle w:val="BodyText"/>
      </w:pPr>
      <w:r w:rsidRPr="00FA0D70">
        <w:t>Assessors must satisfy the Standards for Registered Training Organisations’ requirements for assessors; and have current clinical experience working as an Orthopaedic Technologist or Technician providing serv</w:t>
      </w:r>
      <w:r w:rsidRPr="00FA0D70">
        <w:t>ices to the general public.</w:t>
      </w:r>
    </w:p>
    <w:p w:rsidR="00000000" w:rsidRPr="00FA0D70" w:rsidP="00FA0D70">
      <w:pPr>
        <w:pStyle w:val="Heading1"/>
      </w:pPr>
      <w:bookmarkStart w:id="5" w:name="O_1199085"/>
      <w:bookmarkEnd w:id="5"/>
      <w:r w:rsidRPr="00FA0D70">
        <w:t>Links</w:t>
      </w:r>
    </w:p>
    <w:p w:rsidR="00000000" w:rsidRPr="00FA0D70" w:rsidP="0057377D">
      <w:pPr>
        <w:pStyle w:val="BodyText"/>
      </w:pPr>
      <w:r w:rsidRPr="00FA0D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03F3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A0D70" w:rsidP="00FA0D70"/>
    <w:sectPr w:rsidSect="00FA0D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D70" w:rsidRPr="0057377D" w:rsidP="00573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7D" w:rsidP="00FA0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77D" w:rsidP="00FA0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377D" w:rsidP="00FA0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D70" w:rsidRPr="0057377D" w:rsidP="00573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7D" w:rsidRPr="002D2AF8" w:rsidP="00FA0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HLTOTH003 Remove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7377D" w:rsidP="00FA0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F69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1A8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A81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D70"/>
  </w:style>
  <w:style w:type="character" w:customStyle="1" w:styleId="Heading1Char">
    <w:name w:val="Heading 1 Char"/>
    <w:basedOn w:val="DefaultParagraphFont"/>
    <w:link w:val="Heading1"/>
    <w:rsid w:val="00FA0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D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0D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D70"/>
    <w:rPr>
      <w:b/>
      <w:spacing w:val="0"/>
    </w:rPr>
  </w:style>
  <w:style w:type="paragraph" w:customStyle="1" w:styleId="SuperTitle">
    <w:name w:val="SuperTitle"/>
    <w:basedOn w:val="Title"/>
    <w:rsid w:val="00FA0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D70"/>
    <w:rPr>
      <w:i/>
    </w:rPr>
  </w:style>
  <w:style w:type="paragraph" w:styleId="Caption">
    <w:name w:val="caption"/>
    <w:basedOn w:val="BodyText"/>
    <w:next w:val="Normal"/>
    <w:qFormat/>
    <w:rsid w:val="00FA0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D70"/>
  </w:style>
  <w:style w:type="paragraph" w:styleId="TableofFigures">
    <w:name w:val="table of figures"/>
    <w:basedOn w:val="Normal"/>
    <w:next w:val="Normal"/>
    <w:semiHidden/>
    <w:rsid w:val="00FA0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D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D70"/>
    <w:rPr>
      <w:rFonts w:ascii="Wingdings" w:hAnsi="Wingdings"/>
    </w:rPr>
  </w:style>
  <w:style w:type="paragraph" w:customStyle="1" w:styleId="TableHeading">
    <w:name w:val="Table Heading"/>
    <w:basedOn w:val="HeadingBase"/>
    <w:rsid w:val="00FA0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D70"/>
    <w:rPr>
      <w:color w:val="0033CC"/>
      <w:u w:val="none"/>
    </w:rPr>
  </w:style>
  <w:style w:type="paragraph" w:customStyle="1" w:styleId="BodyTextRight">
    <w:name w:val="Body Text Right"/>
    <w:basedOn w:val="BodyText"/>
    <w:rsid w:val="00FA0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D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D70"/>
    <w:rPr>
      <w:sz w:val="32"/>
    </w:rPr>
  </w:style>
  <w:style w:type="paragraph" w:customStyle="1" w:styleId="HeadingProcedure">
    <w:name w:val="Heading Procedure"/>
    <w:basedOn w:val="HeadingBase"/>
    <w:next w:val="Normal"/>
    <w:rsid w:val="00FA0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D70"/>
    <w:pPr>
      <w:spacing w:before="60" w:after="60"/>
    </w:pPr>
  </w:style>
  <w:style w:type="paragraph" w:styleId="ListContinue">
    <w:name w:val="List Continue"/>
    <w:basedOn w:val="List"/>
    <w:rsid w:val="00FA0D70"/>
    <w:pPr>
      <w:ind w:firstLine="0"/>
    </w:pPr>
  </w:style>
  <w:style w:type="paragraph" w:customStyle="1" w:styleId="ListNote">
    <w:name w:val="List Note"/>
    <w:basedOn w:val="List"/>
    <w:rsid w:val="00FA0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D70"/>
    <w:rPr>
      <w:rFonts w:ascii="Courier New" w:hAnsi="Courier New"/>
    </w:rPr>
  </w:style>
  <w:style w:type="paragraph" w:customStyle="1" w:styleId="NoteBullet">
    <w:name w:val="Note Bullet"/>
    <w:basedOn w:val="Note"/>
    <w:rsid w:val="00FA0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D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D70"/>
    <w:rPr>
      <w:b/>
      <w:smallCaps/>
    </w:rPr>
  </w:style>
  <w:style w:type="paragraph" w:customStyle="1" w:styleId="TableListNumber">
    <w:name w:val="Table List Number"/>
    <w:basedOn w:val="ListNumber"/>
    <w:rsid w:val="00FA0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D70"/>
    <w:pPr>
      <w:numPr>
        <w:numId w:val="9"/>
      </w:numPr>
    </w:pPr>
  </w:style>
  <w:style w:type="paragraph" w:customStyle="1" w:styleId="ListAlpha2">
    <w:name w:val="List Alpha 2"/>
    <w:basedOn w:val="List2"/>
    <w:rsid w:val="00FA0D70"/>
    <w:pPr>
      <w:numPr>
        <w:numId w:val="8"/>
      </w:numPr>
    </w:pPr>
  </w:style>
  <w:style w:type="paragraph" w:styleId="List2">
    <w:name w:val="List 2"/>
    <w:basedOn w:val="BodyText"/>
    <w:rsid w:val="00FA0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D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D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D70"/>
    <w:pPr>
      <w:numPr>
        <w:numId w:val="4"/>
      </w:numPr>
    </w:pPr>
  </w:style>
  <w:style w:type="paragraph" w:styleId="ListContinue2">
    <w:name w:val="List Continue 2"/>
    <w:basedOn w:val="List2"/>
    <w:rsid w:val="00FA0D70"/>
    <w:pPr>
      <w:ind w:firstLine="0"/>
    </w:pPr>
  </w:style>
  <w:style w:type="paragraph" w:styleId="ListContinue3">
    <w:name w:val="List Continue 3"/>
    <w:basedOn w:val="List3"/>
    <w:rsid w:val="00FA0D70"/>
    <w:pPr>
      <w:ind w:left="1021" w:firstLine="0"/>
    </w:pPr>
  </w:style>
  <w:style w:type="paragraph" w:styleId="ListContinue4">
    <w:name w:val="List Continue 4"/>
    <w:basedOn w:val="List4"/>
    <w:rsid w:val="00FA0D70"/>
    <w:pPr>
      <w:ind w:firstLine="0"/>
    </w:pPr>
  </w:style>
  <w:style w:type="paragraph" w:styleId="ListContinue5">
    <w:name w:val="List Continue 5"/>
    <w:basedOn w:val="List5"/>
    <w:rsid w:val="00FA0D70"/>
    <w:pPr>
      <w:ind w:firstLine="0"/>
    </w:pPr>
  </w:style>
  <w:style w:type="paragraph" w:styleId="ListNumber3">
    <w:name w:val="List Number 3"/>
    <w:basedOn w:val="List3"/>
    <w:rsid w:val="00FA0D70"/>
    <w:pPr>
      <w:numPr>
        <w:numId w:val="5"/>
      </w:numPr>
    </w:pPr>
  </w:style>
  <w:style w:type="paragraph" w:styleId="ListNumber4">
    <w:name w:val="List Number 4"/>
    <w:basedOn w:val="List4"/>
    <w:rsid w:val="00FA0D70"/>
    <w:pPr>
      <w:numPr>
        <w:numId w:val="6"/>
      </w:numPr>
    </w:pPr>
  </w:style>
  <w:style w:type="paragraph" w:styleId="ListNumber5">
    <w:name w:val="List Number 5"/>
    <w:basedOn w:val="List5"/>
    <w:rsid w:val="00FA0D70"/>
    <w:pPr>
      <w:numPr>
        <w:numId w:val="7"/>
      </w:numPr>
    </w:pPr>
  </w:style>
  <w:style w:type="paragraph" w:styleId="BlockText">
    <w:name w:val="Block Text"/>
    <w:basedOn w:val="Normal"/>
    <w:rsid w:val="00FA0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D70"/>
    <w:rPr>
      <w:sz w:val="16"/>
      <w:vertAlign w:val="superscript"/>
    </w:rPr>
  </w:style>
  <w:style w:type="character" w:customStyle="1" w:styleId="Symbols">
    <w:name w:val="Symbols"/>
    <w:basedOn w:val="DefaultParagraphFont"/>
    <w:rsid w:val="00FA0D70"/>
    <w:rPr>
      <w:rFonts w:ascii="Symbol" w:hAnsi="Symbol"/>
    </w:rPr>
  </w:style>
  <w:style w:type="character" w:customStyle="1" w:styleId="MenuOptions">
    <w:name w:val="Menu Options"/>
    <w:basedOn w:val="DefaultParagraphFont"/>
    <w:rsid w:val="00FA0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D70"/>
    <w:rPr>
      <w:b/>
    </w:rPr>
  </w:style>
  <w:style w:type="character" w:customStyle="1" w:styleId="Underlined">
    <w:name w:val="Underlined"/>
    <w:basedOn w:val="DefaultParagraphFont"/>
    <w:rsid w:val="00FA0D70"/>
    <w:rPr>
      <w:u w:val="single"/>
    </w:rPr>
  </w:style>
  <w:style w:type="paragraph" w:customStyle="1" w:styleId="TableBodyTextRight">
    <w:name w:val="Table Body Text Right"/>
    <w:basedOn w:val="TableBodyText"/>
    <w:rsid w:val="00FA0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D70"/>
    <w:rPr>
      <w:sz w:val="18"/>
    </w:rPr>
  </w:style>
  <w:style w:type="paragraph" w:customStyle="1" w:styleId="BodySmallRight">
    <w:name w:val="Body Small Right"/>
    <w:basedOn w:val="BodyTextRight"/>
    <w:rsid w:val="00FA0D70"/>
    <w:rPr>
      <w:sz w:val="18"/>
      <w:szCs w:val="18"/>
    </w:rPr>
  </w:style>
  <w:style w:type="paragraph" w:customStyle="1" w:styleId="MarginEdition">
    <w:name w:val="Margin Edition"/>
    <w:basedOn w:val="MarginNote"/>
    <w:rsid w:val="00FA0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D70"/>
    <w:rPr>
      <w:sz w:val="2"/>
      <w:szCs w:val="2"/>
    </w:rPr>
  </w:style>
  <w:style w:type="character" w:customStyle="1" w:styleId="Small">
    <w:name w:val="Small"/>
    <w:basedOn w:val="DefaultParagraphFont"/>
    <w:rsid w:val="00FA0D70"/>
    <w:rPr>
      <w:sz w:val="16"/>
    </w:rPr>
  </w:style>
  <w:style w:type="paragraph" w:customStyle="1" w:styleId="WideTable">
    <w:name w:val="Wide Table"/>
    <w:basedOn w:val="Normal"/>
    <w:rsid w:val="00FA0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D70"/>
  </w:style>
  <w:style w:type="paragraph" w:styleId="Quote">
    <w:name w:val="Quote"/>
    <w:basedOn w:val="Heading1"/>
    <w:link w:val="QuoteChar"/>
    <w:qFormat/>
    <w:rsid w:val="00FA0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D70"/>
    <w:pPr>
      <w:pageBreakBefore/>
    </w:pPr>
  </w:style>
  <w:style w:type="paragraph" w:customStyle="1" w:styleId="Border">
    <w:name w:val="Border"/>
    <w:basedOn w:val="Normal"/>
    <w:qFormat/>
    <w:rsid w:val="00FA0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D70"/>
    <w:rPr>
      <w:u w:val="single"/>
    </w:rPr>
  </w:style>
  <w:style w:type="character" w:customStyle="1" w:styleId="BoldandItalics">
    <w:name w:val="Bold and Italics"/>
    <w:qFormat/>
    <w:rsid w:val="00FA0D70"/>
    <w:rPr>
      <w:b/>
      <w:i/>
      <w:u w:val="none"/>
    </w:rPr>
  </w:style>
  <w:style w:type="paragraph" w:styleId="BalloonText">
    <w:name w:val="Balloon Text"/>
    <w:basedOn w:val="Normal"/>
    <w:link w:val="BalloonTextChar"/>
    <w:rsid w:val="00FA0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D70"/>
    <w:pPr>
      <w:spacing w:before="0" w:after="0"/>
    </w:pPr>
  </w:style>
  <w:style w:type="paragraph" w:customStyle="1" w:styleId="BodyTextBold">
    <w:name w:val="Body Text Bold"/>
    <w:basedOn w:val="BodyText"/>
    <w:qFormat/>
    <w:rsid w:val="00FA0D70"/>
    <w:rPr>
      <w:b/>
    </w:rPr>
  </w:style>
  <w:style w:type="character" w:styleId="Hyperlink">
    <w:name w:val="Hyperlink"/>
    <w:basedOn w:val="DefaultParagraphFont"/>
    <w:uiPriority w:val="99"/>
    <w:unhideWhenUsed/>
    <w:rsid w:val="00573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3830</Characters>
  <Application>Microsoft Office Word</Application>
  <DocSecurity>0</DocSecurity>
  <Lines>132</Lines>
  <Paragraphs>125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HLTOTH003 Remove casts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