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7216" w:rsidP="00D172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HLTOTH001 Apply casts</w:t>
      </w:r>
      <w:r>
        <w:fldChar w:fldCharType="end"/>
      </w:r>
    </w:p>
    <w:p w:rsidR="00D17216" w:rsidP="00D17216">
      <w:pPr>
        <w:pStyle w:val="Version"/>
        <w:sectPr w:rsidSect="00720B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0BEC" w:rsidP="00720BEC">
      <w:pPr>
        <w:pStyle w:val="SuperHeading"/>
      </w:pPr>
      <w:r w:rsidRPr="00720BEC">
        <w:t>Assessment Requirements for HLTOTH001 Apply casts</w:t>
      </w:r>
    </w:p>
    <w:p w:rsidR="00000000" w:rsidRPr="00720BEC" w:rsidP="00720BEC">
      <w:pPr>
        <w:pStyle w:val="Heading1"/>
      </w:pPr>
      <w:bookmarkStart w:id="1" w:name="O_1199041"/>
      <w:bookmarkEnd w:id="1"/>
      <w:r w:rsidRPr="00720BEC">
        <w:t>Modification History</w:t>
      </w:r>
    </w:p>
    <w:p w:rsidR="00000000" w:rsidRPr="00720BEC" w:rsidP="00D17216">
      <w:pPr>
        <w:pStyle w:val="BodyText"/>
      </w:pPr>
      <w:r w:rsidRPr="00720BEC">
        <w:t>No equivalent unit.</w:t>
      </w:r>
    </w:p>
    <w:p w:rsidR="00000000" w:rsidRPr="00720BEC" w:rsidP="00720BEC">
      <w:pPr>
        <w:pStyle w:val="Heading1"/>
      </w:pPr>
      <w:bookmarkStart w:id="2" w:name="O_1199042"/>
      <w:bookmarkEnd w:id="2"/>
      <w:r w:rsidRPr="00720BEC">
        <w:t>Performance Evidence</w:t>
      </w:r>
    </w:p>
    <w:p w:rsidR="00000000" w:rsidRPr="00720BEC" w:rsidP="00D17216">
      <w:pPr>
        <w:pStyle w:val="BodyText"/>
      </w:pPr>
      <w:r w:rsidRPr="00720BEC">
        <w:t>Evidence of the ability to complete tasks outlined in elements and performance criteria of this unit in the context of the job role, and:</w:t>
      </w:r>
    </w:p>
    <w:p w:rsidR="00000000" w:rsidRPr="00720BEC" w:rsidP="00720BEC">
      <w:pPr>
        <w:pStyle w:val="ListBullet"/>
      </w:pPr>
      <w:r w:rsidRPr="00720BEC">
        <w:t>perform the activities outl</w:t>
      </w:r>
      <w:r w:rsidRPr="00720BEC">
        <w:t>ined in the performance criteria of this unit during a period of at least 400 hours of work related to casting or applying orthopaedic devices in a clinical workplace environment. This 400 hours may be applied collectively across all units of competency th</w:t>
      </w:r>
      <w:r w:rsidRPr="00720BEC">
        <w:t>at include the requirement for workplace hours for the purposes of assessment, including carrying out each of the following on at least one occasion:</w:t>
      </w:r>
    </w:p>
    <w:p w:rsidR="00000000" w:rsidRPr="00720BEC" w:rsidP="00720BEC">
      <w:pPr>
        <w:pStyle w:val="ListBullet2"/>
      </w:pPr>
      <w:r w:rsidRPr="00720BEC">
        <w:t>interpreting referrals, sourcing information, liaising with the healthcare team and following instruction</w:t>
      </w:r>
      <w:r w:rsidRPr="00720BEC">
        <w:t>s within the healthcare setting</w:t>
      </w:r>
    </w:p>
    <w:p w:rsidR="00000000" w:rsidRPr="00720BEC" w:rsidP="00720BEC">
      <w:pPr>
        <w:pStyle w:val="ListBullet2"/>
      </w:pPr>
      <w:r w:rsidRPr="00720BEC">
        <w:t>applying casts:</w:t>
      </w:r>
    </w:p>
    <w:p w:rsidR="00000000" w:rsidRPr="00720BEC" w:rsidP="00720BEC">
      <w:pPr>
        <w:pStyle w:val="ListBullet3"/>
      </w:pPr>
      <w:r w:rsidRPr="00720BEC">
        <w:t>below elbow including full casts, back slabs, gutter casts, strapping for radial, wrist, metacarpal and finger fractures</w:t>
      </w:r>
    </w:p>
    <w:p w:rsidR="00000000" w:rsidRPr="00720BEC" w:rsidP="00720BEC">
      <w:pPr>
        <w:pStyle w:val="ListBullet3"/>
      </w:pPr>
      <w:r w:rsidRPr="00720BEC">
        <w:t>splints, Plaster of Paris (POP), fibreglass, low temperature, thermoplastics</w:t>
      </w:r>
    </w:p>
    <w:p w:rsidR="00000000" w:rsidRPr="00720BEC" w:rsidP="00720BEC">
      <w:pPr>
        <w:pStyle w:val="ListBullet3"/>
      </w:pPr>
      <w:r w:rsidRPr="00720BEC">
        <w:t>above elbow including full casts, back slabs, cylinder casts, forearm fractures and elbow dislocations</w:t>
      </w:r>
    </w:p>
    <w:p w:rsidR="00000000" w:rsidRPr="00720BEC" w:rsidP="00720BEC">
      <w:pPr>
        <w:pStyle w:val="ListBullet3"/>
      </w:pPr>
      <w:r w:rsidRPr="00720BEC">
        <w:t xml:space="preserve">humeral hanging casts and U slabs </w:t>
      </w:r>
    </w:p>
    <w:p w:rsidR="00000000" w:rsidRPr="00720BEC" w:rsidP="00720BEC">
      <w:pPr>
        <w:pStyle w:val="ListBullet3"/>
      </w:pPr>
      <w:r w:rsidRPr="00720BEC">
        <w:t>above knee casts</w:t>
      </w:r>
    </w:p>
    <w:p w:rsidR="00000000" w:rsidRPr="00720BEC" w:rsidP="00720BEC">
      <w:pPr>
        <w:pStyle w:val="ListBullet3"/>
      </w:pPr>
      <w:r w:rsidRPr="00720BEC">
        <w:t>lower limb cylinder casts</w:t>
      </w:r>
    </w:p>
    <w:p w:rsidR="00000000" w:rsidRPr="00720BEC" w:rsidP="00720BEC">
      <w:pPr>
        <w:pStyle w:val="ListBullet3"/>
      </w:pPr>
      <w:r w:rsidRPr="00720BEC">
        <w:t xml:space="preserve">below knee casts for ankle and foot fractures and Achilles tendon repairs </w:t>
      </w:r>
    </w:p>
    <w:p w:rsidR="00000000" w:rsidRPr="00720BEC" w:rsidP="00720BEC">
      <w:pPr>
        <w:pStyle w:val="ListBullet3"/>
      </w:pPr>
      <w:r w:rsidRPr="00720BEC">
        <w:t>patella tendon bearing casts</w:t>
      </w:r>
    </w:p>
    <w:p w:rsidR="00000000" w:rsidRPr="00720BEC" w:rsidP="00720BEC">
      <w:pPr>
        <w:pStyle w:val="ListBullet3"/>
      </w:pPr>
      <w:r w:rsidRPr="00720BEC">
        <w:t>cast braces</w:t>
      </w:r>
    </w:p>
    <w:p w:rsidR="00000000" w:rsidRPr="00720BEC" w:rsidP="00720BEC">
      <w:pPr>
        <w:pStyle w:val="ListBullet2"/>
      </w:pPr>
      <w:r w:rsidRPr="00720BEC">
        <w:t>reviewing, treating, advising and referring clients:</w:t>
      </w:r>
    </w:p>
    <w:p w:rsidR="00000000" w:rsidRPr="00720BEC" w:rsidP="00720BEC">
      <w:pPr>
        <w:pStyle w:val="ListBullet3"/>
      </w:pPr>
      <w:r w:rsidRPr="00720BEC">
        <w:t>paediatrics</w:t>
      </w:r>
    </w:p>
    <w:p w:rsidR="00000000" w:rsidRPr="00720BEC" w:rsidP="00720BEC">
      <w:pPr>
        <w:pStyle w:val="ListBullet3"/>
      </w:pPr>
      <w:r w:rsidRPr="00720BEC">
        <w:t>adults</w:t>
      </w:r>
    </w:p>
    <w:p w:rsidR="00000000" w:rsidRPr="00720BEC" w:rsidP="00720BEC">
      <w:pPr>
        <w:pStyle w:val="ListBullet2"/>
      </w:pPr>
      <w:r w:rsidRPr="00720BEC">
        <w:t>assisting with applying the following casts that may be simulated on real people if required:</w:t>
      </w:r>
    </w:p>
    <w:p w:rsidR="00000000" w:rsidRPr="00720BEC" w:rsidP="00720BEC">
      <w:pPr>
        <w:pStyle w:val="ListBullet3"/>
      </w:pPr>
      <w:r w:rsidRPr="00720BEC">
        <w:t>Developmental Dysplasia Hip (DDH)</w:t>
      </w:r>
    </w:p>
    <w:p w:rsidR="00000000" w:rsidRPr="00720BEC" w:rsidP="00720BEC">
      <w:pPr>
        <w:pStyle w:val="ListBullet3"/>
      </w:pPr>
      <w:r w:rsidRPr="00720BEC">
        <w:t>Ponseti cas</w:t>
      </w:r>
      <w:r w:rsidRPr="00720BEC">
        <w:t>ting</w:t>
      </w:r>
    </w:p>
    <w:p w:rsidR="00000000" w:rsidRPr="00720BEC" w:rsidP="00720BEC">
      <w:pPr>
        <w:pStyle w:val="ListBullet3"/>
      </w:pPr>
      <w:r w:rsidRPr="00720BEC">
        <w:t>serial casting</w:t>
      </w:r>
    </w:p>
    <w:p w:rsidR="00000000" w:rsidRPr="00720BEC" w:rsidP="00720BEC">
      <w:pPr>
        <w:pStyle w:val="ListBullet3"/>
      </w:pPr>
      <w:r w:rsidRPr="00720BEC">
        <w:t>sugar-tong casts and Position of Safe Immobilisation (POSI)</w:t>
      </w:r>
    </w:p>
    <w:p w:rsidR="00000000" w:rsidRPr="00720BEC" w:rsidP="00720BEC">
      <w:pPr>
        <w:pStyle w:val="ListBullet3"/>
      </w:pPr>
      <w:r w:rsidRPr="00720BEC">
        <w:t>positional function</w:t>
      </w:r>
    </w:p>
    <w:p w:rsidR="00000000" w:rsidRPr="00720BEC" w:rsidP="00720BEC">
      <w:pPr>
        <w:pStyle w:val="ListBullet2"/>
      </w:pPr>
      <w:r w:rsidRPr="00720BEC">
        <w:t>selecting, using and maintaining equipment:</w:t>
      </w:r>
    </w:p>
    <w:p w:rsidR="00000000" w:rsidRPr="00720BEC" w:rsidP="00720BEC">
      <w:pPr>
        <w:pStyle w:val="ListBullet3"/>
      </w:pPr>
      <w:r w:rsidRPr="00720BEC">
        <w:t>arm, knee and buttock block</w:t>
      </w:r>
    </w:p>
    <w:p w:rsidR="00000000" w:rsidRPr="00720BEC" w:rsidP="00720BEC">
      <w:pPr>
        <w:pStyle w:val="ListBullet3"/>
      </w:pPr>
      <w:r w:rsidRPr="00720BEC">
        <w:t>benders and cast breakers</w:t>
      </w:r>
    </w:p>
    <w:p w:rsidR="00000000" w:rsidRPr="00720BEC" w:rsidP="00720BEC">
      <w:pPr>
        <w:pStyle w:val="ListBullet3"/>
      </w:pPr>
      <w:r w:rsidRPr="00720BEC">
        <w:t>cast bracing equipment</w:t>
      </w:r>
    </w:p>
    <w:p w:rsidR="00000000" w:rsidRPr="00720BEC" w:rsidP="00720BEC">
      <w:pPr>
        <w:pStyle w:val="ListBullet3"/>
      </w:pPr>
      <w:r w:rsidRPr="00720BEC">
        <w:t>eye protection equipment</w:t>
      </w:r>
    </w:p>
    <w:p w:rsidR="00000000" w:rsidRPr="00720BEC" w:rsidP="00720BEC">
      <w:pPr>
        <w:pStyle w:val="ListBullet3"/>
      </w:pPr>
      <w:r w:rsidRPr="00720BEC">
        <w:t>goniometer</w:t>
      </w:r>
    </w:p>
    <w:p w:rsidR="00000000" w:rsidRPr="00720BEC" w:rsidP="00720BEC">
      <w:pPr>
        <w:pStyle w:val="ListBullet3"/>
      </w:pPr>
      <w:r w:rsidRPr="00720BEC">
        <w:t>hearing protection</w:t>
      </w:r>
    </w:p>
    <w:p w:rsidR="00000000" w:rsidRPr="00720BEC" w:rsidP="00720BEC">
      <w:pPr>
        <w:pStyle w:val="ListBullet3"/>
      </w:pPr>
      <w:r w:rsidRPr="00720BEC">
        <w:t xml:space="preserve">plaster trap </w:t>
      </w:r>
    </w:p>
    <w:p w:rsidR="00000000" w:rsidRPr="00720BEC" w:rsidP="00720BEC">
      <w:pPr>
        <w:pStyle w:val="ListBullet3"/>
      </w:pPr>
      <w:r w:rsidRPr="00720BEC">
        <w:t>saw with vacuum</w:t>
      </w:r>
    </w:p>
    <w:p w:rsidR="00000000" w:rsidRPr="00720BEC" w:rsidP="00720BEC">
      <w:pPr>
        <w:pStyle w:val="ListBullet3"/>
      </w:pPr>
      <w:r w:rsidRPr="00720BEC">
        <w:t>scissors</w:t>
      </w:r>
    </w:p>
    <w:p w:rsidR="00000000" w:rsidRPr="00720BEC" w:rsidP="00720BEC">
      <w:pPr>
        <w:pStyle w:val="ListBullet3"/>
      </w:pPr>
      <w:r w:rsidRPr="00720BEC">
        <w:t>shears</w:t>
      </w:r>
    </w:p>
    <w:p w:rsidR="00000000" w:rsidRPr="00720BEC" w:rsidP="00720BEC">
      <w:pPr>
        <w:pStyle w:val="ListBullet3"/>
      </w:pPr>
      <w:r w:rsidRPr="00720BEC">
        <w:t>spreaders</w:t>
      </w:r>
    </w:p>
    <w:p w:rsidR="00000000" w:rsidRPr="00720BEC" w:rsidP="00720BEC">
      <w:pPr>
        <w:pStyle w:val="ListBullet3"/>
      </w:pPr>
      <w:r w:rsidRPr="00720BEC">
        <w:t>tape measure</w:t>
      </w:r>
    </w:p>
    <w:p w:rsidR="00000000" w:rsidRPr="00720BEC" w:rsidP="00720BEC">
      <w:pPr>
        <w:pStyle w:val="ListBullet3"/>
      </w:pPr>
      <w:r w:rsidRPr="00720BEC">
        <w:t>vice</w:t>
      </w:r>
    </w:p>
    <w:p w:rsidR="00000000" w:rsidRPr="00720BEC" w:rsidP="00720BEC">
      <w:pPr>
        <w:pStyle w:val="ListBullet2"/>
      </w:pPr>
      <w:r w:rsidRPr="00720BEC">
        <w:t>selecting and using materials:</w:t>
      </w:r>
    </w:p>
    <w:p w:rsidR="00000000" w:rsidRPr="00720BEC" w:rsidP="00720BEC">
      <w:pPr>
        <w:pStyle w:val="ListBullet3"/>
      </w:pPr>
      <w:r w:rsidRPr="00720BEC">
        <w:t>abduction bars</w:t>
      </w:r>
    </w:p>
    <w:p w:rsidR="00000000" w:rsidRPr="00720BEC" w:rsidP="00720BEC">
      <w:pPr>
        <w:pStyle w:val="ListBullet3"/>
      </w:pPr>
      <w:r w:rsidRPr="00720BEC">
        <w:t>bandages</w:t>
      </w:r>
    </w:p>
    <w:p w:rsidR="00000000" w:rsidRPr="00720BEC" w:rsidP="00720BEC">
      <w:pPr>
        <w:pStyle w:val="ListBullet3"/>
      </w:pPr>
      <w:r w:rsidRPr="00720BEC">
        <w:t>cast shoes</w:t>
      </w:r>
    </w:p>
    <w:p w:rsidR="00000000" w:rsidRPr="00720BEC" w:rsidP="00720BEC">
      <w:pPr>
        <w:pStyle w:val="ListBullet3"/>
      </w:pPr>
      <w:r w:rsidRPr="00720BEC">
        <w:t>dry dressing</w:t>
      </w:r>
    </w:p>
    <w:p w:rsidR="00000000" w:rsidRPr="00720BEC" w:rsidP="00720BEC">
      <w:pPr>
        <w:pStyle w:val="ListBullet3"/>
      </w:pPr>
      <w:r w:rsidRPr="00720BEC">
        <w:t>felts, foams and padding</w:t>
      </w:r>
    </w:p>
    <w:p w:rsidR="00000000" w:rsidRPr="00720BEC" w:rsidP="00720BEC">
      <w:pPr>
        <w:pStyle w:val="ListBullet3"/>
      </w:pPr>
      <w:r w:rsidRPr="00720BEC">
        <w:t>hinges</w:t>
      </w:r>
    </w:p>
    <w:p w:rsidR="00000000" w:rsidRPr="00720BEC" w:rsidP="00720BEC">
      <w:pPr>
        <w:pStyle w:val="ListBullet3"/>
      </w:pPr>
      <w:r w:rsidRPr="00720BEC">
        <w:t>plaster</w:t>
      </w:r>
    </w:p>
    <w:p w:rsidR="00000000" w:rsidRPr="00720BEC" w:rsidP="00720BEC">
      <w:pPr>
        <w:pStyle w:val="ListBullet3"/>
      </w:pPr>
      <w:r w:rsidRPr="00720BEC">
        <w:t>quadrilateral bucket</w:t>
      </w:r>
    </w:p>
    <w:p w:rsidR="00000000" w:rsidRPr="00720BEC" w:rsidP="00720BEC">
      <w:pPr>
        <w:pStyle w:val="ListBullet3"/>
      </w:pPr>
      <w:r w:rsidRPr="00720BEC">
        <w:t>stockinette’s</w:t>
      </w:r>
    </w:p>
    <w:p w:rsidR="00000000" w:rsidRPr="00720BEC" w:rsidP="00720BEC">
      <w:pPr>
        <w:pStyle w:val="ListBullet3"/>
      </w:pPr>
      <w:r w:rsidRPr="00720BEC">
        <w:t>strapping</w:t>
      </w:r>
    </w:p>
    <w:p w:rsidR="00000000" w:rsidRPr="00720BEC" w:rsidP="00720BEC">
      <w:pPr>
        <w:pStyle w:val="ListBullet3"/>
      </w:pPr>
      <w:r w:rsidRPr="00720BEC">
        <w:t>synthetic materials including fibreglass</w:t>
      </w:r>
    </w:p>
    <w:p w:rsidR="00000000" w:rsidRPr="00720BEC" w:rsidP="00720BEC">
      <w:pPr>
        <w:pStyle w:val="ListBullet3"/>
      </w:pPr>
      <w:r w:rsidRPr="00720BEC">
        <w:t>tapes</w:t>
      </w:r>
    </w:p>
    <w:p w:rsidR="00000000" w:rsidRPr="00720BEC" w:rsidP="00720BEC">
      <w:pPr>
        <w:pStyle w:val="ListBullet3"/>
      </w:pPr>
      <w:r w:rsidRPr="00720BEC">
        <w:t>undercast padding</w:t>
      </w:r>
    </w:p>
    <w:p w:rsidR="00000000" w:rsidRPr="00720BEC" w:rsidP="00720BEC">
      <w:pPr>
        <w:pStyle w:val="ListBullet2"/>
      </w:pPr>
      <w:r w:rsidRPr="00720BEC">
        <w:t>selecting and using aids:</w:t>
      </w:r>
    </w:p>
    <w:p w:rsidR="00000000" w:rsidRPr="00720BEC" w:rsidP="00720BEC">
      <w:pPr>
        <w:pStyle w:val="ListBullet3"/>
      </w:pPr>
      <w:r w:rsidRPr="00720BEC">
        <w:t>ambulation aides</w:t>
      </w:r>
    </w:p>
    <w:p w:rsidR="00000000" w:rsidRPr="00720BEC" w:rsidP="00720BEC">
      <w:pPr>
        <w:pStyle w:val="ListBullet3"/>
      </w:pPr>
      <w:r w:rsidRPr="00720BEC">
        <w:t>gait aides</w:t>
      </w:r>
    </w:p>
    <w:p w:rsidR="00000000" w:rsidRPr="00720BEC" w:rsidP="00720BEC">
      <w:pPr>
        <w:pStyle w:val="ListBullet3"/>
      </w:pPr>
      <w:r w:rsidRPr="00720BEC">
        <w:t>heel</w:t>
      </w:r>
    </w:p>
    <w:p w:rsidR="00000000" w:rsidRPr="00720BEC" w:rsidP="00720BEC">
      <w:pPr>
        <w:pStyle w:val="ListBullet3"/>
      </w:pPr>
      <w:r w:rsidRPr="00720BEC">
        <w:t>overshoes</w:t>
      </w:r>
    </w:p>
    <w:p w:rsidR="00000000" w:rsidRPr="00720BEC" w:rsidP="00720BEC">
      <w:pPr>
        <w:pStyle w:val="ListBullet3"/>
      </w:pPr>
      <w:r w:rsidRPr="00720BEC">
        <w:t>sling</w:t>
      </w:r>
    </w:p>
    <w:p w:rsidR="00000000" w:rsidRPr="00720BEC" w:rsidP="00720BEC">
      <w:pPr>
        <w:pStyle w:val="ListBullet2"/>
      </w:pPr>
      <w:r w:rsidRPr="00720BEC">
        <w:t>documenting clinical records.</w:t>
      </w:r>
    </w:p>
    <w:p w:rsidR="00000000" w:rsidRPr="00720BEC" w:rsidP="00720BEC">
      <w:pPr>
        <w:pStyle w:val="AllowPageBreak"/>
      </w:pPr>
    </w:p>
    <w:p w:rsidR="00000000" w:rsidRPr="00720BEC" w:rsidP="00720BEC">
      <w:pPr>
        <w:pStyle w:val="Heading1"/>
      </w:pPr>
      <w:bookmarkStart w:id="3" w:name="O_1199043"/>
      <w:bookmarkEnd w:id="3"/>
      <w:r w:rsidRPr="00720BEC">
        <w:t>Knowledge Evidence</w:t>
      </w:r>
    </w:p>
    <w:p w:rsidR="00000000" w:rsidRPr="00720BEC" w:rsidP="00D17216">
      <w:pPr>
        <w:pStyle w:val="BodyText"/>
      </w:pPr>
      <w:r w:rsidRPr="00720BEC">
        <w:t>Demonstrated knowledge required to complete the tasks outlined in elements and performance criteria of this unit:</w:t>
      </w:r>
    </w:p>
    <w:p w:rsidR="00000000" w:rsidRPr="00720BEC" w:rsidP="00720BEC">
      <w:pPr>
        <w:pStyle w:val="ListBullet"/>
      </w:pPr>
      <w:r w:rsidRPr="00720BEC">
        <w:t>procedures relevant to cast application:</w:t>
      </w:r>
    </w:p>
    <w:p w:rsidR="00000000" w:rsidRPr="00720BEC" w:rsidP="00720BEC">
      <w:pPr>
        <w:pStyle w:val="ListBullet2"/>
      </w:pPr>
      <w:r w:rsidRPr="00720BEC">
        <w:t>client confidentiality and privacy</w:t>
      </w:r>
    </w:p>
    <w:p w:rsidR="00000000" w:rsidRPr="00720BEC" w:rsidP="00720BEC">
      <w:pPr>
        <w:pStyle w:val="ListBullet2"/>
      </w:pPr>
      <w:r w:rsidRPr="00720BEC">
        <w:t>client consent</w:t>
      </w:r>
    </w:p>
    <w:p w:rsidR="00000000" w:rsidRPr="00720BEC" w:rsidP="00720BEC">
      <w:pPr>
        <w:pStyle w:val="ListBullet2"/>
      </w:pPr>
      <w:r w:rsidRPr="00720BEC">
        <w:t>duty of care</w:t>
      </w:r>
    </w:p>
    <w:p w:rsidR="00000000" w:rsidRPr="00720BEC" w:rsidP="00720BEC">
      <w:pPr>
        <w:pStyle w:val="ListBullet2"/>
      </w:pPr>
      <w:r w:rsidRPr="00720BEC">
        <w:t>infection control</w:t>
      </w:r>
    </w:p>
    <w:p w:rsidR="00000000" w:rsidRPr="00720BEC" w:rsidP="00720BEC">
      <w:pPr>
        <w:pStyle w:val="ListBullet2"/>
      </w:pPr>
      <w:r w:rsidRPr="00720BEC">
        <w:t>inventory</w:t>
      </w:r>
    </w:p>
    <w:p w:rsidR="00000000" w:rsidRPr="00720BEC" w:rsidP="00720BEC">
      <w:pPr>
        <w:pStyle w:val="ListBullet2"/>
      </w:pPr>
      <w:r w:rsidRPr="00720BEC">
        <w:t>work health and safety</w:t>
      </w:r>
    </w:p>
    <w:p w:rsidR="00000000" w:rsidRPr="00720BEC" w:rsidP="00720BEC">
      <w:pPr>
        <w:pStyle w:val="ListBullet"/>
      </w:pPr>
      <w:r w:rsidRPr="00720BEC">
        <w:t>roles, responsibilities and boundaries of responsibilities relevant to cast application</w:t>
      </w:r>
    </w:p>
    <w:p w:rsidR="00000000" w:rsidRPr="00720BEC" w:rsidP="00720BEC">
      <w:pPr>
        <w:pStyle w:val="ListBullet"/>
      </w:pPr>
      <w:r w:rsidRPr="00720BEC">
        <w:t>anatomy and physiology relevant to cast application</w:t>
      </w:r>
    </w:p>
    <w:p w:rsidR="00000000" w:rsidRPr="00720BEC" w:rsidP="00720BEC">
      <w:pPr>
        <w:pStyle w:val="ListBullet"/>
      </w:pPr>
      <w:r w:rsidRPr="00720BEC">
        <w:t>methods for interpreting radiological findings and features of x-rays, CT scans and MRI scan</w:t>
      </w:r>
      <w:r w:rsidRPr="00720BEC">
        <w:t>s relating to casts and the presenting condition</w:t>
      </w:r>
    </w:p>
    <w:p w:rsidR="00000000" w:rsidRPr="00720BEC" w:rsidP="00720BEC">
      <w:pPr>
        <w:pStyle w:val="ListBullet"/>
      </w:pPr>
      <w:r w:rsidRPr="00720BEC">
        <w:t>conditions for referral of clients for immediate review by a medical practitioner:</w:t>
      </w:r>
    </w:p>
    <w:p w:rsidR="00000000" w:rsidRPr="00720BEC" w:rsidP="00720BEC">
      <w:pPr>
        <w:pStyle w:val="ListBullet2"/>
      </w:pPr>
      <w:r w:rsidRPr="00720BEC">
        <w:t>evidence of infection</w:t>
      </w:r>
    </w:p>
    <w:p w:rsidR="00000000" w:rsidRPr="00720BEC" w:rsidP="00720BEC">
      <w:pPr>
        <w:pStyle w:val="ListBullet2"/>
      </w:pPr>
      <w:r w:rsidRPr="00720BEC">
        <w:t>Deep Vein Thrombosis (DVT)</w:t>
      </w:r>
    </w:p>
    <w:p w:rsidR="00000000" w:rsidRPr="00720BEC" w:rsidP="00720BEC">
      <w:pPr>
        <w:pStyle w:val="ListBullet2"/>
      </w:pPr>
      <w:r w:rsidRPr="00720BEC">
        <w:t>intense localised pain</w:t>
      </w:r>
    </w:p>
    <w:p w:rsidR="00000000" w:rsidRPr="00720BEC" w:rsidP="00720BEC">
      <w:pPr>
        <w:pStyle w:val="ListBullet2"/>
      </w:pPr>
      <w:r w:rsidRPr="00720BEC">
        <w:t>neurovascular status outside normal limits</w:t>
      </w:r>
    </w:p>
    <w:p w:rsidR="00000000" w:rsidRPr="00720BEC" w:rsidP="00720BEC">
      <w:pPr>
        <w:pStyle w:val="ListBullet2"/>
      </w:pPr>
      <w:r w:rsidRPr="00720BEC">
        <w:t>wound breakdown and deterioration</w:t>
      </w:r>
    </w:p>
    <w:p w:rsidR="00000000" w:rsidRPr="00720BEC" w:rsidP="00720BEC">
      <w:pPr>
        <w:pStyle w:val="ListBullet"/>
      </w:pPr>
      <w:r w:rsidRPr="00720BEC">
        <w:t>individual client needs:</w:t>
      </w:r>
    </w:p>
    <w:p w:rsidR="00000000" w:rsidRPr="00720BEC" w:rsidP="00720BEC">
      <w:pPr>
        <w:pStyle w:val="ListBullet2"/>
      </w:pPr>
      <w:r w:rsidRPr="00720BEC">
        <w:t>developmental stage including paediatrics and adults</w:t>
      </w:r>
    </w:p>
    <w:p w:rsidR="00000000" w:rsidRPr="00720BEC" w:rsidP="00720BEC">
      <w:pPr>
        <w:pStyle w:val="ListBullet2"/>
      </w:pPr>
      <w:r w:rsidRPr="00720BEC">
        <w:t>in clients and out clients</w:t>
      </w:r>
    </w:p>
    <w:p w:rsidR="00000000" w:rsidRPr="00720BEC" w:rsidP="00720BEC">
      <w:pPr>
        <w:pStyle w:val="ListBullet2"/>
      </w:pPr>
      <w:r w:rsidRPr="00720BEC">
        <w:t>functional requirements and restrictions</w:t>
      </w:r>
    </w:p>
    <w:p w:rsidR="00000000" w:rsidRPr="00720BEC" w:rsidP="00720BEC">
      <w:pPr>
        <w:pStyle w:val="ListBullet2"/>
      </w:pPr>
      <w:r w:rsidRPr="00720BEC">
        <w:t>mobilisation difficulties and restrictions</w:t>
      </w:r>
    </w:p>
    <w:p w:rsidR="00000000" w:rsidRPr="00720BEC" w:rsidP="00720BEC">
      <w:pPr>
        <w:pStyle w:val="ListBullet2"/>
      </w:pPr>
      <w:r w:rsidRPr="00720BEC">
        <w:t>level of anxiety</w:t>
      </w:r>
    </w:p>
    <w:p w:rsidR="00000000" w:rsidRPr="00720BEC" w:rsidP="00720BEC">
      <w:pPr>
        <w:pStyle w:val="ListBullet2"/>
      </w:pPr>
      <w:r w:rsidRPr="00720BEC">
        <w:t>physical anoma</w:t>
      </w:r>
      <w:r w:rsidRPr="00720BEC">
        <w:t>lies</w:t>
      </w:r>
    </w:p>
    <w:p w:rsidR="00000000" w:rsidRPr="00720BEC" w:rsidP="00720BEC">
      <w:pPr>
        <w:pStyle w:val="ListBullet2"/>
      </w:pPr>
      <w:r w:rsidRPr="00720BEC">
        <w:t>religious and cultural beliefs</w:t>
      </w:r>
    </w:p>
    <w:p w:rsidR="00000000" w:rsidRPr="00720BEC" w:rsidP="00720BEC">
      <w:pPr>
        <w:pStyle w:val="ListBullet2"/>
      </w:pPr>
      <w:r w:rsidRPr="00720BEC">
        <w:t xml:space="preserve">environment and climate </w:t>
      </w:r>
    </w:p>
    <w:p w:rsidR="00000000" w:rsidRPr="00720BEC" w:rsidP="00720BEC">
      <w:pPr>
        <w:pStyle w:val="ListBullet"/>
      </w:pPr>
      <w:r w:rsidRPr="00720BEC">
        <w:t>pathology and assessment of client conditions:</w:t>
      </w:r>
    </w:p>
    <w:p w:rsidR="00000000" w:rsidRPr="00720BEC" w:rsidP="00720BEC">
      <w:pPr>
        <w:pStyle w:val="ListBullet2"/>
      </w:pPr>
      <w:r w:rsidRPr="00720BEC">
        <w:t>allergies</w:t>
      </w:r>
    </w:p>
    <w:p w:rsidR="00000000" w:rsidRPr="00720BEC" w:rsidP="00720BEC">
      <w:pPr>
        <w:pStyle w:val="ListBullet2"/>
      </w:pPr>
      <w:r w:rsidRPr="00720BEC">
        <w:t>mechanism of injury</w:t>
      </w:r>
    </w:p>
    <w:p w:rsidR="00000000" w:rsidRPr="00720BEC" w:rsidP="00720BEC">
      <w:pPr>
        <w:pStyle w:val="ListBullet2"/>
      </w:pPr>
      <w:r w:rsidRPr="00720BEC">
        <w:t>interference</w:t>
      </w:r>
    </w:p>
    <w:p w:rsidR="00000000" w:rsidRPr="00720BEC" w:rsidP="00720BEC">
      <w:pPr>
        <w:pStyle w:val="ListBullet2"/>
      </w:pPr>
      <w:r w:rsidRPr="00720BEC">
        <w:t>non-union fracture</w:t>
      </w:r>
    </w:p>
    <w:p w:rsidR="00000000" w:rsidRPr="00720BEC" w:rsidP="00720BEC">
      <w:pPr>
        <w:pStyle w:val="ListBullet2"/>
      </w:pPr>
      <w:r w:rsidRPr="00720BEC">
        <w:t>oedematous extremity</w:t>
      </w:r>
    </w:p>
    <w:p w:rsidR="00000000" w:rsidRPr="00720BEC" w:rsidP="00720BEC">
      <w:pPr>
        <w:pStyle w:val="ListBullet2"/>
      </w:pPr>
      <w:r w:rsidRPr="00720BEC">
        <w:t>wires, pins, external fixatures and surgical wounds</w:t>
      </w:r>
    </w:p>
    <w:p w:rsidR="00000000" w:rsidRPr="00720BEC" w:rsidP="00720BEC">
      <w:pPr>
        <w:pStyle w:val="ListBullet2"/>
      </w:pPr>
      <w:r w:rsidRPr="00720BEC">
        <w:t>medical history and co-morbidities</w:t>
      </w:r>
    </w:p>
    <w:p w:rsidR="00000000" w:rsidRPr="00720BEC" w:rsidP="00720BEC">
      <w:pPr>
        <w:pStyle w:val="ListBullet2"/>
      </w:pPr>
      <w:r w:rsidRPr="00720BEC">
        <w:t>skin condition including oedema, blisters, pressure areas, broken skin, fragile skin and wound breakdown</w:t>
      </w:r>
    </w:p>
    <w:p w:rsidR="00000000" w:rsidRPr="00720BEC" w:rsidP="00720BEC">
      <w:pPr>
        <w:pStyle w:val="ListBullet"/>
      </w:pPr>
      <w:r w:rsidRPr="00720BEC">
        <w:t>precaution types, characteristics and resolution:</w:t>
      </w:r>
    </w:p>
    <w:p w:rsidR="00000000" w:rsidRPr="00720BEC" w:rsidP="00720BEC">
      <w:pPr>
        <w:pStyle w:val="ListBullet2"/>
      </w:pPr>
      <w:r w:rsidRPr="00720BEC">
        <w:t>areas of broken skin</w:t>
      </w:r>
    </w:p>
    <w:p w:rsidR="00000000" w:rsidRPr="00720BEC" w:rsidP="00720BEC">
      <w:pPr>
        <w:pStyle w:val="ListBullet2"/>
      </w:pPr>
      <w:r w:rsidRPr="00720BEC">
        <w:t>conditions that result in a significant fun</w:t>
      </w:r>
      <w:r w:rsidRPr="00720BEC">
        <w:t>ctional disability that may limit a person</w:t>
      </w:r>
      <w:r>
        <w:t>’</w:t>
      </w:r>
      <w:r w:rsidRPr="00720BEC">
        <w:t>s ability to manage a cast</w:t>
      </w:r>
    </w:p>
    <w:p w:rsidR="00000000" w:rsidRPr="00720BEC" w:rsidP="00720BEC">
      <w:pPr>
        <w:pStyle w:val="ListBullet2"/>
      </w:pPr>
      <w:r w:rsidRPr="00720BEC">
        <w:t>conditions that result in fragile skin</w:t>
      </w:r>
    </w:p>
    <w:p w:rsidR="00000000" w:rsidRPr="00720BEC" w:rsidP="00720BEC">
      <w:pPr>
        <w:pStyle w:val="ListBullet"/>
      </w:pPr>
      <w:r w:rsidRPr="00720BEC">
        <w:t>complication types, characteristics and resolution:</w:t>
      </w:r>
    </w:p>
    <w:p w:rsidR="00000000" w:rsidRPr="00720BEC" w:rsidP="00720BEC">
      <w:pPr>
        <w:pStyle w:val="ListBullet2"/>
      </w:pPr>
      <w:r w:rsidRPr="00720BEC">
        <w:t>pressure sores</w:t>
      </w:r>
    </w:p>
    <w:p w:rsidR="00000000" w:rsidRPr="00720BEC" w:rsidP="00720BEC">
      <w:pPr>
        <w:pStyle w:val="ListBullet2"/>
      </w:pPr>
      <w:r w:rsidRPr="00720BEC">
        <w:t xml:space="preserve">foreign objects in casts and splints </w:t>
      </w:r>
    </w:p>
    <w:p w:rsidR="00000000" w:rsidRPr="00720BEC" w:rsidP="00720BEC">
      <w:pPr>
        <w:pStyle w:val="ListBullet2"/>
      </w:pPr>
      <w:r w:rsidRPr="00720BEC">
        <w:t>cast breakdown</w:t>
      </w:r>
    </w:p>
    <w:p w:rsidR="00000000" w:rsidRPr="00720BEC" w:rsidP="00720BEC">
      <w:pPr>
        <w:pStyle w:val="ListBullet2"/>
      </w:pPr>
      <w:r w:rsidRPr="00720BEC">
        <w:t>cast migration due to los</w:t>
      </w:r>
      <w:r w:rsidRPr="00720BEC">
        <w:t>s of tissue bulk</w:t>
      </w:r>
    </w:p>
    <w:p w:rsidR="00000000" w:rsidRPr="00720BEC" w:rsidP="00720BEC">
      <w:pPr>
        <w:pStyle w:val="ListBullet2"/>
      </w:pPr>
      <w:r w:rsidRPr="00720BEC">
        <w:t>compromising related injury</w:t>
      </w:r>
    </w:p>
    <w:p w:rsidR="00000000" w:rsidRPr="00720BEC" w:rsidP="00720BEC">
      <w:pPr>
        <w:pStyle w:val="ListBullet2"/>
      </w:pPr>
      <w:r w:rsidRPr="00720BEC">
        <w:t>fracture blisters</w:t>
      </w:r>
    </w:p>
    <w:p w:rsidR="00000000" w:rsidRPr="00720BEC" w:rsidP="00720BEC">
      <w:pPr>
        <w:pStyle w:val="ListBullet2"/>
      </w:pPr>
      <w:r w:rsidRPr="00720BEC">
        <w:t>malalignment of bone</w:t>
      </w:r>
    </w:p>
    <w:p w:rsidR="00000000" w:rsidRPr="00720BEC" w:rsidP="00720BEC">
      <w:pPr>
        <w:pStyle w:val="ListBullet2"/>
      </w:pPr>
      <w:r w:rsidRPr="00720BEC">
        <w:t>neurovascular complications including poor capillary refill and altered sensation</w:t>
      </w:r>
    </w:p>
    <w:p w:rsidR="00000000" w:rsidRPr="00720BEC" w:rsidP="00720BEC">
      <w:pPr>
        <w:pStyle w:val="ListBullet2"/>
      </w:pPr>
      <w:r w:rsidRPr="00720BEC">
        <w:t xml:space="preserve">pressure areas </w:t>
      </w:r>
    </w:p>
    <w:p w:rsidR="00000000" w:rsidRPr="00720BEC" w:rsidP="00720BEC">
      <w:pPr>
        <w:pStyle w:val="ListBullet2"/>
      </w:pPr>
      <w:r w:rsidRPr="00720BEC">
        <w:t>nerve damage</w:t>
      </w:r>
    </w:p>
    <w:p w:rsidR="00000000" w:rsidRPr="00720BEC" w:rsidP="00720BEC">
      <w:pPr>
        <w:pStyle w:val="ListBullet2"/>
      </w:pPr>
      <w:r w:rsidRPr="00720BEC">
        <w:t>tissue necrosis</w:t>
      </w:r>
    </w:p>
    <w:p w:rsidR="00000000" w:rsidRPr="00720BEC" w:rsidP="00720BEC">
      <w:pPr>
        <w:pStyle w:val="ListBullet2"/>
      </w:pPr>
      <w:r w:rsidRPr="00720BEC">
        <w:t>infection</w:t>
      </w:r>
    </w:p>
    <w:p w:rsidR="00000000" w:rsidRPr="00720BEC" w:rsidP="00720BEC">
      <w:pPr>
        <w:pStyle w:val="ListBullet2"/>
      </w:pPr>
      <w:r w:rsidRPr="00720BEC">
        <w:t>reduced and loss of movement and function of joint</w:t>
      </w:r>
    </w:p>
    <w:p w:rsidR="00000000" w:rsidRPr="00720BEC" w:rsidP="00720BEC">
      <w:pPr>
        <w:pStyle w:val="ListBullet2"/>
      </w:pPr>
      <w:r w:rsidRPr="00720BEC">
        <w:t>secondary infection</w:t>
      </w:r>
    </w:p>
    <w:p w:rsidR="00000000" w:rsidRPr="00720BEC" w:rsidP="00720BEC">
      <w:pPr>
        <w:pStyle w:val="ListBullet2"/>
      </w:pPr>
      <w:r w:rsidRPr="00720BEC">
        <w:t>wound breakdown</w:t>
      </w:r>
    </w:p>
    <w:p w:rsidR="00000000" w:rsidRPr="00720BEC" w:rsidP="00720BEC">
      <w:pPr>
        <w:pStyle w:val="ListBullet"/>
      </w:pPr>
      <w:r w:rsidRPr="00720BEC">
        <w:t>cast types and purpose:</w:t>
      </w:r>
    </w:p>
    <w:p w:rsidR="00000000" w:rsidRPr="00720BEC" w:rsidP="00720BEC">
      <w:pPr>
        <w:pStyle w:val="ListBullet2"/>
      </w:pPr>
      <w:r w:rsidRPr="00720BEC">
        <w:t>fully circumferential</w:t>
      </w:r>
    </w:p>
    <w:p w:rsidR="00000000" w:rsidRPr="00720BEC" w:rsidP="00720BEC">
      <w:pPr>
        <w:pStyle w:val="ListBullet2"/>
      </w:pPr>
      <w:r w:rsidRPr="00720BEC">
        <w:t>hip spica</w:t>
      </w:r>
    </w:p>
    <w:p w:rsidR="00000000" w:rsidRPr="00720BEC" w:rsidP="00720BEC">
      <w:pPr>
        <w:pStyle w:val="ListBullet2"/>
      </w:pPr>
      <w:r w:rsidRPr="00720BEC">
        <w:t>slab including gutter slabs</w:t>
      </w:r>
    </w:p>
    <w:p w:rsidR="00000000" w:rsidRPr="00720BEC" w:rsidP="00720BEC">
      <w:pPr>
        <w:pStyle w:val="ListBullet2"/>
      </w:pPr>
      <w:r w:rsidRPr="00720BEC">
        <w:t>split</w:t>
      </w:r>
    </w:p>
    <w:p w:rsidR="00000000" w:rsidRPr="00720BEC" w:rsidP="00720BEC">
      <w:pPr>
        <w:pStyle w:val="ListBullet2"/>
      </w:pPr>
      <w:r w:rsidRPr="00720BEC">
        <w:t>bivalve</w:t>
      </w:r>
    </w:p>
    <w:p w:rsidR="00000000" w:rsidRPr="00720BEC" w:rsidP="00720BEC">
      <w:pPr>
        <w:pStyle w:val="ListBullet2"/>
      </w:pPr>
      <w:r w:rsidRPr="00720BEC">
        <w:t>Developmental Dysplasia Hip (DDH)</w:t>
      </w:r>
    </w:p>
    <w:p w:rsidR="00000000" w:rsidRPr="00720BEC" w:rsidP="00720BEC">
      <w:pPr>
        <w:pStyle w:val="ListBullet2"/>
      </w:pPr>
      <w:r w:rsidRPr="00720BEC">
        <w:t>Ponseti casting</w:t>
      </w:r>
    </w:p>
    <w:p w:rsidR="00000000" w:rsidRPr="00720BEC" w:rsidP="00720BEC">
      <w:pPr>
        <w:pStyle w:val="ListBullet2"/>
      </w:pPr>
      <w:r w:rsidRPr="00720BEC">
        <w:t>serial casting</w:t>
      </w:r>
    </w:p>
    <w:p w:rsidR="00000000" w:rsidRPr="00720BEC" w:rsidP="00720BEC">
      <w:pPr>
        <w:pStyle w:val="ListBullet2"/>
      </w:pPr>
      <w:r w:rsidRPr="00720BEC">
        <w:t>sugar-tong casts and Position of Safe Immobilisation (POSI)</w:t>
      </w:r>
    </w:p>
    <w:p w:rsidR="00000000" w:rsidRPr="00720BEC" w:rsidP="00720BEC">
      <w:pPr>
        <w:pStyle w:val="ListBullet2"/>
      </w:pPr>
      <w:r w:rsidRPr="00720BEC">
        <w:t>positional function</w:t>
      </w:r>
    </w:p>
    <w:p w:rsidR="00000000" w:rsidRPr="00720BEC" w:rsidP="00720BEC">
      <w:pPr>
        <w:pStyle w:val="ListBullet"/>
      </w:pPr>
      <w:r w:rsidRPr="00720BEC">
        <w:t>cast application techniques:</w:t>
      </w:r>
    </w:p>
    <w:p w:rsidR="00000000" w:rsidRPr="00720BEC" w:rsidP="00720BEC">
      <w:pPr>
        <w:pStyle w:val="ListBullet2"/>
      </w:pPr>
      <w:r w:rsidRPr="00720BEC">
        <w:t xml:space="preserve">anatomical positioning </w:t>
      </w:r>
    </w:p>
    <w:p w:rsidR="00000000" w:rsidRPr="00720BEC" w:rsidP="00720BEC">
      <w:pPr>
        <w:pStyle w:val="ListBullet2"/>
      </w:pPr>
      <w:r w:rsidRPr="00720BEC">
        <w:t>protective cover for broken skin with aseptic technique</w:t>
      </w:r>
    </w:p>
    <w:p w:rsidR="00000000" w:rsidRPr="00720BEC" w:rsidP="00720BEC">
      <w:pPr>
        <w:pStyle w:val="ListBullet2"/>
      </w:pPr>
      <w:r w:rsidRPr="00720BEC">
        <w:t>below elbow including full casts, back slabs, gutter casts, strap</w:t>
      </w:r>
      <w:r w:rsidRPr="00720BEC">
        <w:t xml:space="preserve">ping for radial, wrist, metacarpal and finger fractures </w:t>
      </w:r>
    </w:p>
    <w:p w:rsidR="00000000" w:rsidRPr="00720BEC" w:rsidP="00720BEC">
      <w:pPr>
        <w:pStyle w:val="ListBullet2"/>
      </w:pPr>
      <w:r w:rsidRPr="00720BEC">
        <w:t>above elbow including full casts, back slabs, cylinder casts, forearm fractures and elbow dislocations</w:t>
      </w:r>
    </w:p>
    <w:p w:rsidR="00000000" w:rsidRPr="00720BEC" w:rsidP="00720BEC">
      <w:pPr>
        <w:pStyle w:val="ListBullet2"/>
      </w:pPr>
      <w:r w:rsidRPr="00720BEC">
        <w:t xml:space="preserve">humeral hanging casts and U slabs </w:t>
      </w:r>
    </w:p>
    <w:p w:rsidR="00000000" w:rsidRPr="00720BEC" w:rsidP="00720BEC">
      <w:pPr>
        <w:pStyle w:val="ListBullet2"/>
      </w:pPr>
      <w:r w:rsidRPr="00720BEC">
        <w:t xml:space="preserve">above knee casts </w:t>
      </w:r>
    </w:p>
    <w:p w:rsidR="00000000" w:rsidRPr="00720BEC" w:rsidP="00720BEC">
      <w:pPr>
        <w:pStyle w:val="ListBullet2"/>
      </w:pPr>
      <w:r w:rsidRPr="00720BEC">
        <w:t>lower limb cylinder casts</w:t>
      </w:r>
    </w:p>
    <w:p w:rsidR="00000000" w:rsidRPr="00720BEC" w:rsidP="00720BEC">
      <w:pPr>
        <w:pStyle w:val="ListBullet2"/>
      </w:pPr>
      <w:r w:rsidRPr="00720BEC">
        <w:t xml:space="preserve">below knee casts </w:t>
      </w:r>
      <w:r w:rsidRPr="00720BEC">
        <w:t xml:space="preserve">for ankle and foot fractures and Achilles tendon repairs </w:t>
      </w:r>
    </w:p>
    <w:p w:rsidR="00000000" w:rsidRPr="00720BEC" w:rsidP="00720BEC">
      <w:pPr>
        <w:pStyle w:val="ListBullet2"/>
      </w:pPr>
      <w:r w:rsidRPr="00720BEC">
        <w:t>patella tendon bearing casts</w:t>
      </w:r>
    </w:p>
    <w:p w:rsidR="00000000" w:rsidRPr="00720BEC" w:rsidP="00720BEC">
      <w:pPr>
        <w:pStyle w:val="ListBullet2"/>
      </w:pPr>
      <w:r w:rsidRPr="00720BEC">
        <w:t>total contact casting</w:t>
      </w:r>
    </w:p>
    <w:p w:rsidR="00000000" w:rsidRPr="00720BEC" w:rsidP="00720BEC">
      <w:pPr>
        <w:pStyle w:val="ListBullet"/>
      </w:pPr>
      <w:r w:rsidRPr="00720BEC">
        <w:t>cast material purpose, selection and safe use:</w:t>
      </w:r>
    </w:p>
    <w:p w:rsidR="00000000" w:rsidRPr="00720BEC" w:rsidP="00720BEC">
      <w:pPr>
        <w:pStyle w:val="ListBullet2"/>
      </w:pPr>
      <w:r w:rsidRPr="00720BEC">
        <w:t>abduction bars</w:t>
      </w:r>
    </w:p>
    <w:p w:rsidR="00000000" w:rsidRPr="00720BEC" w:rsidP="00720BEC">
      <w:pPr>
        <w:pStyle w:val="ListBullet2"/>
      </w:pPr>
      <w:r w:rsidRPr="00720BEC">
        <w:t>bandages</w:t>
      </w:r>
    </w:p>
    <w:p w:rsidR="00000000" w:rsidRPr="00720BEC" w:rsidP="00720BEC">
      <w:pPr>
        <w:pStyle w:val="ListBullet2"/>
      </w:pPr>
      <w:r w:rsidRPr="00720BEC">
        <w:t>cast shoes</w:t>
      </w:r>
    </w:p>
    <w:p w:rsidR="00000000" w:rsidRPr="00720BEC" w:rsidP="00720BEC">
      <w:pPr>
        <w:pStyle w:val="ListBullet2"/>
      </w:pPr>
      <w:r w:rsidRPr="00720BEC">
        <w:t>dry dressing</w:t>
      </w:r>
    </w:p>
    <w:p w:rsidR="00000000" w:rsidRPr="00720BEC" w:rsidP="00720BEC">
      <w:pPr>
        <w:pStyle w:val="ListBullet2"/>
      </w:pPr>
      <w:r w:rsidRPr="00720BEC">
        <w:t>felts, foams and padding</w:t>
      </w:r>
    </w:p>
    <w:p w:rsidR="00000000" w:rsidRPr="00720BEC" w:rsidP="00720BEC">
      <w:pPr>
        <w:pStyle w:val="ListBullet2"/>
      </w:pPr>
      <w:r w:rsidRPr="00720BEC">
        <w:t>hinges</w:t>
      </w:r>
    </w:p>
    <w:p w:rsidR="00000000" w:rsidRPr="00720BEC" w:rsidP="00720BEC">
      <w:pPr>
        <w:pStyle w:val="ListBullet2"/>
      </w:pPr>
      <w:r w:rsidRPr="00720BEC">
        <w:t>plaster</w:t>
      </w:r>
    </w:p>
    <w:p w:rsidR="00000000" w:rsidRPr="00720BEC" w:rsidP="00720BEC">
      <w:pPr>
        <w:pStyle w:val="ListBullet2"/>
      </w:pPr>
      <w:r w:rsidRPr="00720BEC">
        <w:t>quadrilateral bucket</w:t>
      </w:r>
    </w:p>
    <w:p w:rsidR="00000000" w:rsidRPr="00720BEC" w:rsidP="00720BEC">
      <w:pPr>
        <w:pStyle w:val="ListBullet2"/>
      </w:pPr>
      <w:r w:rsidRPr="00720BEC">
        <w:t>stockinette’s</w:t>
      </w:r>
    </w:p>
    <w:p w:rsidR="00000000" w:rsidRPr="00720BEC" w:rsidP="00720BEC">
      <w:pPr>
        <w:pStyle w:val="ListBullet2"/>
      </w:pPr>
      <w:r w:rsidRPr="00720BEC">
        <w:t>strapping</w:t>
      </w:r>
    </w:p>
    <w:p w:rsidR="00000000" w:rsidRPr="00720BEC" w:rsidP="00720BEC">
      <w:pPr>
        <w:pStyle w:val="ListBullet2"/>
      </w:pPr>
      <w:r w:rsidRPr="00720BEC">
        <w:t>synthetic materials including fibreglass</w:t>
      </w:r>
    </w:p>
    <w:p w:rsidR="00000000" w:rsidRPr="00720BEC" w:rsidP="00720BEC">
      <w:pPr>
        <w:pStyle w:val="ListBullet2"/>
      </w:pPr>
      <w:r w:rsidRPr="00720BEC">
        <w:t>tapes</w:t>
      </w:r>
    </w:p>
    <w:p w:rsidR="00000000" w:rsidRPr="00720BEC" w:rsidP="00720BEC">
      <w:pPr>
        <w:pStyle w:val="ListBullet2"/>
      </w:pPr>
      <w:r w:rsidRPr="00720BEC">
        <w:t>undercast padding</w:t>
      </w:r>
    </w:p>
    <w:p w:rsidR="00000000" w:rsidRPr="00720BEC" w:rsidP="00720BEC">
      <w:pPr>
        <w:pStyle w:val="ListBullet"/>
      </w:pPr>
      <w:r w:rsidRPr="00720BEC">
        <w:t>cast equipment purpose, selection, safe use and maintenance:</w:t>
      </w:r>
    </w:p>
    <w:p w:rsidR="00000000" w:rsidRPr="00720BEC" w:rsidP="00720BEC">
      <w:pPr>
        <w:pStyle w:val="ListBullet2"/>
      </w:pPr>
      <w:r w:rsidRPr="00720BEC">
        <w:t>arm, knee and buttock block</w:t>
      </w:r>
    </w:p>
    <w:p w:rsidR="00000000" w:rsidRPr="00720BEC" w:rsidP="00720BEC">
      <w:pPr>
        <w:pStyle w:val="ListBullet2"/>
      </w:pPr>
      <w:r w:rsidRPr="00720BEC">
        <w:t>benders and cast breakers</w:t>
      </w:r>
    </w:p>
    <w:p w:rsidR="00000000" w:rsidRPr="00720BEC" w:rsidP="00720BEC">
      <w:pPr>
        <w:pStyle w:val="ListBullet2"/>
      </w:pPr>
      <w:r w:rsidRPr="00720BEC">
        <w:t>cast bracing equipment</w:t>
      </w:r>
    </w:p>
    <w:p w:rsidR="00000000" w:rsidRPr="00720BEC" w:rsidP="00720BEC">
      <w:pPr>
        <w:pStyle w:val="ListBullet2"/>
      </w:pPr>
      <w:r w:rsidRPr="00720BEC">
        <w:t>eye protection equipment</w:t>
      </w:r>
    </w:p>
    <w:p w:rsidR="00000000" w:rsidRPr="00720BEC" w:rsidP="00720BEC">
      <w:pPr>
        <w:pStyle w:val="ListBullet2"/>
      </w:pPr>
      <w:r w:rsidRPr="00720BEC">
        <w:t>goniometer</w:t>
      </w:r>
    </w:p>
    <w:p w:rsidR="00000000" w:rsidRPr="00720BEC" w:rsidP="00720BEC">
      <w:pPr>
        <w:pStyle w:val="ListBullet2"/>
      </w:pPr>
      <w:r w:rsidRPr="00720BEC">
        <w:t>hearing protection</w:t>
      </w:r>
    </w:p>
    <w:p w:rsidR="00000000" w:rsidRPr="00720BEC" w:rsidP="00720BEC">
      <w:pPr>
        <w:pStyle w:val="ListBullet2"/>
      </w:pPr>
      <w:r w:rsidRPr="00720BEC">
        <w:t xml:space="preserve">plaster trap </w:t>
      </w:r>
    </w:p>
    <w:p w:rsidR="00000000" w:rsidRPr="00720BEC" w:rsidP="00720BEC">
      <w:pPr>
        <w:pStyle w:val="ListBullet2"/>
      </w:pPr>
      <w:r w:rsidRPr="00720BEC">
        <w:t>saw with vacuum</w:t>
      </w:r>
    </w:p>
    <w:p w:rsidR="00000000" w:rsidRPr="00720BEC" w:rsidP="00720BEC">
      <w:pPr>
        <w:pStyle w:val="ListBullet2"/>
      </w:pPr>
      <w:r w:rsidRPr="00720BEC">
        <w:t>scissors</w:t>
      </w:r>
    </w:p>
    <w:p w:rsidR="00000000" w:rsidRPr="00720BEC" w:rsidP="00720BEC">
      <w:pPr>
        <w:pStyle w:val="ListBullet2"/>
      </w:pPr>
      <w:r w:rsidRPr="00720BEC">
        <w:t>shears</w:t>
      </w:r>
    </w:p>
    <w:p w:rsidR="00000000" w:rsidRPr="00720BEC" w:rsidP="00720BEC">
      <w:pPr>
        <w:pStyle w:val="ListBullet2"/>
      </w:pPr>
      <w:r w:rsidRPr="00720BEC">
        <w:t>spreaders</w:t>
      </w:r>
    </w:p>
    <w:p w:rsidR="00000000" w:rsidRPr="00720BEC" w:rsidP="00720BEC">
      <w:pPr>
        <w:pStyle w:val="ListBullet2"/>
      </w:pPr>
      <w:r w:rsidRPr="00720BEC">
        <w:t>tape measure</w:t>
      </w:r>
    </w:p>
    <w:p w:rsidR="00000000" w:rsidRPr="00720BEC" w:rsidP="00720BEC">
      <w:pPr>
        <w:pStyle w:val="ListBullet2"/>
      </w:pPr>
      <w:r w:rsidRPr="00720BEC">
        <w:t>vice</w:t>
      </w:r>
    </w:p>
    <w:p w:rsidR="00000000" w:rsidRPr="00720BEC" w:rsidP="00720BEC">
      <w:pPr>
        <w:pStyle w:val="ListBullet"/>
      </w:pPr>
      <w:r w:rsidRPr="00720BEC">
        <w:t>moulding of cast requirements:</w:t>
      </w:r>
    </w:p>
    <w:p w:rsidR="00000000" w:rsidRPr="00720BEC" w:rsidP="00720BEC">
      <w:pPr>
        <w:pStyle w:val="ListBullet2"/>
      </w:pPr>
      <w:r w:rsidRPr="00720BEC">
        <w:t>absence of areas of pressure from cast</w:t>
      </w:r>
    </w:p>
    <w:p w:rsidR="00000000" w:rsidRPr="00720BEC" w:rsidP="00720BEC">
      <w:pPr>
        <w:pStyle w:val="ListBullet2"/>
      </w:pPr>
      <w:r w:rsidRPr="00720BEC">
        <w:t>movement of limb is controlled</w:t>
      </w:r>
    </w:p>
    <w:p w:rsidR="00000000" w:rsidRPr="00720BEC" w:rsidP="00720BEC">
      <w:pPr>
        <w:pStyle w:val="ListBullet2"/>
      </w:pPr>
      <w:r w:rsidRPr="00720BEC">
        <w:t>well fitted to limb</w:t>
      </w:r>
    </w:p>
    <w:p w:rsidR="00000000" w:rsidRPr="00720BEC" w:rsidP="00720BEC">
      <w:pPr>
        <w:pStyle w:val="ListBullet"/>
      </w:pPr>
      <w:r w:rsidRPr="00720BEC">
        <w:t>knowledge of Charnley’s 3-point moulding</w:t>
      </w:r>
    </w:p>
    <w:p w:rsidR="00000000" w:rsidRPr="00720BEC" w:rsidP="00720BEC">
      <w:pPr>
        <w:pStyle w:val="ListBullet"/>
      </w:pPr>
      <w:r w:rsidRPr="00720BEC">
        <w:t>aid purpose, selection and safe use:</w:t>
      </w:r>
    </w:p>
    <w:p w:rsidR="00000000" w:rsidRPr="00720BEC" w:rsidP="00720BEC">
      <w:pPr>
        <w:pStyle w:val="ListBullet2"/>
      </w:pPr>
      <w:r w:rsidRPr="00720BEC">
        <w:t>ambulation aides</w:t>
      </w:r>
    </w:p>
    <w:p w:rsidR="00000000" w:rsidRPr="00720BEC" w:rsidP="00720BEC">
      <w:pPr>
        <w:pStyle w:val="ListBullet2"/>
      </w:pPr>
      <w:r w:rsidRPr="00720BEC">
        <w:t>gait aides</w:t>
      </w:r>
    </w:p>
    <w:p w:rsidR="00000000" w:rsidRPr="00720BEC" w:rsidP="00720BEC">
      <w:pPr>
        <w:pStyle w:val="ListBullet2"/>
      </w:pPr>
      <w:r w:rsidRPr="00720BEC">
        <w:t>heel</w:t>
      </w:r>
    </w:p>
    <w:p w:rsidR="00000000" w:rsidRPr="00720BEC" w:rsidP="00720BEC">
      <w:pPr>
        <w:pStyle w:val="ListBullet2"/>
      </w:pPr>
      <w:r w:rsidRPr="00720BEC">
        <w:t>overshoes</w:t>
      </w:r>
    </w:p>
    <w:p w:rsidR="00000000" w:rsidRPr="00720BEC" w:rsidP="00720BEC">
      <w:pPr>
        <w:pStyle w:val="ListBullet2"/>
      </w:pPr>
      <w:r w:rsidRPr="00720BEC">
        <w:t>sling</w:t>
      </w:r>
    </w:p>
    <w:p w:rsidR="00000000" w:rsidRPr="00720BEC" w:rsidP="00720BEC">
      <w:pPr>
        <w:pStyle w:val="ListBullet"/>
      </w:pPr>
      <w:r w:rsidRPr="00720BEC">
        <w:t>medications relevant to cast application and future care</w:t>
      </w:r>
    </w:p>
    <w:p w:rsidR="00000000" w:rsidRPr="00720BEC" w:rsidP="00720BEC">
      <w:pPr>
        <w:pStyle w:val="ListBullet"/>
      </w:pPr>
      <w:r w:rsidRPr="00720BEC">
        <w:t>types of client advice:</w:t>
      </w:r>
    </w:p>
    <w:p w:rsidR="00000000" w:rsidRPr="00720BEC" w:rsidP="00720BEC">
      <w:pPr>
        <w:pStyle w:val="ListBullet2"/>
      </w:pPr>
      <w:r w:rsidRPr="00720BEC">
        <w:t xml:space="preserve">cast care and warnings </w:t>
      </w:r>
    </w:p>
    <w:p w:rsidR="00000000" w:rsidRPr="00720BEC" w:rsidP="00720BEC">
      <w:pPr>
        <w:pStyle w:val="ListBullet2"/>
      </w:pPr>
      <w:r w:rsidRPr="00720BEC">
        <w:t>limb care and neurova</w:t>
      </w:r>
      <w:r w:rsidRPr="00720BEC">
        <w:t>scular warnings</w:t>
      </w:r>
    </w:p>
    <w:p w:rsidR="00000000" w:rsidRPr="00720BEC" w:rsidP="00720BEC">
      <w:pPr>
        <w:pStyle w:val="ListBullet2"/>
      </w:pPr>
      <w:r w:rsidRPr="00720BEC">
        <w:t>mobilisation exercises and routines</w:t>
      </w:r>
    </w:p>
    <w:p w:rsidR="00000000" w:rsidRPr="00720BEC" w:rsidP="00720BEC">
      <w:pPr>
        <w:pStyle w:val="ListBullet2"/>
      </w:pPr>
      <w:r w:rsidRPr="00720BEC">
        <w:t>oedema control</w:t>
      </w:r>
    </w:p>
    <w:p w:rsidR="00000000" w:rsidRPr="00720BEC" w:rsidP="00720BEC">
      <w:pPr>
        <w:pStyle w:val="ListBullet2"/>
      </w:pPr>
      <w:r w:rsidRPr="00720BEC">
        <w:t xml:space="preserve">fitness to drive </w:t>
      </w:r>
    </w:p>
    <w:p w:rsidR="00000000" w:rsidRPr="00720BEC" w:rsidP="00720BEC">
      <w:pPr>
        <w:pStyle w:val="ListBullet2"/>
      </w:pPr>
      <w:r w:rsidRPr="00720BEC">
        <w:t>weight bearing status</w:t>
      </w:r>
    </w:p>
    <w:p w:rsidR="00000000" w:rsidRPr="00720BEC" w:rsidP="00720BEC">
      <w:pPr>
        <w:pStyle w:val="ListBullet2"/>
      </w:pPr>
      <w:r w:rsidRPr="00720BEC">
        <w:t xml:space="preserve">safe use of aides </w:t>
      </w:r>
    </w:p>
    <w:p w:rsidR="00000000" w:rsidRPr="00720BEC" w:rsidP="00720BEC">
      <w:pPr>
        <w:pStyle w:val="ListBullet"/>
      </w:pPr>
      <w:r w:rsidRPr="00720BEC">
        <w:t>clinical record requirements</w:t>
      </w:r>
    </w:p>
    <w:p w:rsidR="00000000" w:rsidRPr="00720BEC" w:rsidP="00720BEC">
      <w:pPr>
        <w:pStyle w:val="ListBullet"/>
      </w:pPr>
      <w:r w:rsidRPr="00720BEC">
        <w:t>waste management procedures to maintain clean working environment</w:t>
      </w:r>
    </w:p>
    <w:p w:rsidR="00000000" w:rsidRPr="00720BEC" w:rsidP="00720BEC">
      <w:pPr>
        <w:pStyle w:val="ListBullet"/>
      </w:pPr>
      <w:r w:rsidRPr="00720BEC">
        <w:t>medical terminology relevant to cast application.</w:t>
      </w:r>
    </w:p>
    <w:p w:rsidR="00000000" w:rsidRPr="00720BEC" w:rsidP="00720BEC">
      <w:pPr>
        <w:pStyle w:val="AllowPageBreak"/>
      </w:pPr>
    </w:p>
    <w:p w:rsidR="00000000" w:rsidRPr="00720BEC" w:rsidP="00720BEC">
      <w:pPr>
        <w:pStyle w:val="Heading1"/>
      </w:pPr>
      <w:bookmarkStart w:id="4" w:name="O_1199044"/>
      <w:bookmarkEnd w:id="4"/>
      <w:r w:rsidRPr="00720BEC">
        <w:t>Assessment Conditions</w:t>
      </w:r>
    </w:p>
    <w:p w:rsidR="00000000" w:rsidRPr="00720BEC" w:rsidP="00D17216">
      <w:pPr>
        <w:pStyle w:val="BodyText"/>
      </w:pPr>
      <w:r w:rsidRPr="00720BEC">
        <w:t>Skills must be demonstrated in a real workplace with real patients in a clinical environment with the addition of simulations and scenarios with real people where th</w:t>
      </w:r>
      <w:r w:rsidRPr="00720BEC">
        <w:t>e full range of contexts and situations cannot be provided in the workplace.</w:t>
      </w:r>
    </w:p>
    <w:p w:rsidR="00000000" w:rsidRPr="00720BEC" w:rsidP="00D17216">
      <w:pPr>
        <w:pStyle w:val="BodyText"/>
      </w:pPr>
      <w:r w:rsidRPr="00720BEC">
        <w:t>Where simulation is used, it must reflect real working conditions in a clinical environment by modelling industry operating conditions and contingencies, as well as using suitable</w:t>
      </w:r>
      <w:r w:rsidRPr="00720BEC">
        <w:t xml:space="preserve"> facilities, equipment and resources. </w:t>
      </w:r>
    </w:p>
    <w:p w:rsidR="00000000" w:rsidRPr="00720BEC" w:rsidP="00D17216">
      <w:pPr>
        <w:pStyle w:val="BodyText"/>
      </w:pPr>
      <w:r w:rsidRPr="00720BEC">
        <w:t>Assessment must ensure use of:</w:t>
      </w:r>
    </w:p>
    <w:p w:rsidR="00000000" w:rsidRPr="00720BEC" w:rsidP="00720BEC">
      <w:pPr>
        <w:pStyle w:val="ListBullet"/>
      </w:pPr>
      <w:r w:rsidRPr="00720BEC">
        <w:t>procedures relevant to cast application</w:t>
      </w:r>
    </w:p>
    <w:p w:rsidR="00000000" w:rsidRPr="00720BEC" w:rsidP="00720BEC">
      <w:pPr>
        <w:pStyle w:val="ListBullet"/>
      </w:pPr>
      <w:r w:rsidRPr="00720BEC">
        <w:t>clients listed in the Performance Evidence</w:t>
      </w:r>
    </w:p>
    <w:p w:rsidR="00000000" w:rsidRPr="00720BEC" w:rsidP="00720BEC">
      <w:pPr>
        <w:pStyle w:val="ListBullet"/>
      </w:pPr>
      <w:r w:rsidRPr="00720BEC">
        <w:t>healthcare team listed in the Performance Evidence</w:t>
      </w:r>
    </w:p>
    <w:p w:rsidR="00000000" w:rsidRPr="00720BEC" w:rsidP="00720BEC">
      <w:pPr>
        <w:pStyle w:val="ListBullet"/>
      </w:pPr>
      <w:r w:rsidRPr="00720BEC">
        <w:t>equipment listed in the Performance Evidence</w:t>
      </w:r>
    </w:p>
    <w:p w:rsidR="00000000" w:rsidRPr="00720BEC" w:rsidP="00720BEC">
      <w:pPr>
        <w:pStyle w:val="ListBullet"/>
      </w:pPr>
      <w:r w:rsidRPr="00720BEC">
        <w:t>materials listed in the Performance Evidence</w:t>
      </w:r>
    </w:p>
    <w:p w:rsidR="00000000" w:rsidRPr="00720BEC" w:rsidP="00720BEC">
      <w:pPr>
        <w:pStyle w:val="ListBullet"/>
      </w:pPr>
      <w:r w:rsidRPr="00720BEC">
        <w:t>aids listed in the Performance Evidence</w:t>
      </w:r>
    </w:p>
    <w:p w:rsidR="00000000" w:rsidRPr="00720BEC" w:rsidP="00720BEC">
      <w:pPr>
        <w:pStyle w:val="ListBullet"/>
      </w:pPr>
      <w:r w:rsidRPr="00720BEC">
        <w:t>personal protective equipment (PPE)</w:t>
      </w:r>
    </w:p>
    <w:p w:rsidR="00000000" w:rsidRPr="00720BEC" w:rsidP="00720BEC">
      <w:pPr>
        <w:pStyle w:val="ListBullet"/>
      </w:pPr>
      <w:r w:rsidRPr="00720BEC">
        <w:t>manufacturer’s instructions for all equipment and materials.</w:t>
      </w:r>
    </w:p>
    <w:p w:rsidR="00000000" w:rsidRPr="00720BEC" w:rsidP="00D17216">
      <w:pPr>
        <w:pStyle w:val="BodyText"/>
      </w:pPr>
      <w:r w:rsidRPr="00720BEC">
        <w:t>Assessors must satisfy the Standards for Registered Training Organisations</w:t>
      </w:r>
      <w:r w:rsidRPr="00720BEC">
        <w:t>’ requirements for assessors; and have current clinical experience working as an Orthopaedic Technologist or Technician providing services to the general public.</w:t>
      </w:r>
    </w:p>
    <w:p w:rsidR="00000000" w:rsidRPr="00720BEC" w:rsidP="00720BEC">
      <w:pPr>
        <w:pStyle w:val="Heading1"/>
      </w:pPr>
      <w:bookmarkStart w:id="5" w:name="O_1199047"/>
      <w:bookmarkEnd w:id="5"/>
      <w:r w:rsidRPr="00720BEC">
        <w:t>Links</w:t>
      </w:r>
    </w:p>
    <w:p w:rsidR="00000000" w:rsidRPr="00720BEC" w:rsidP="00D17216">
      <w:pPr>
        <w:pStyle w:val="BodyText"/>
      </w:pPr>
      <w:r w:rsidRPr="00720B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A2BC2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720BEC" w:rsidP="00720BEC"/>
    <w:sectPr w:rsidSect="00720B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EC" w:rsidRPr="00D17216" w:rsidP="00D172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16" w:rsidP="00720B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17216" w:rsidP="00720B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17216" w:rsidP="00720B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0BEC" w:rsidRPr="00D17216" w:rsidP="00D172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0B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216" w:rsidRPr="002D2AF8" w:rsidP="00720B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HLTOTH001 Apply casts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17216" w:rsidP="00720B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4693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7588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A799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0B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0B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0B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0B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0B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0B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0B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0B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0B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0B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0B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0BEC"/>
  </w:style>
  <w:style w:type="character" w:customStyle="1" w:styleId="Heading1Char">
    <w:name w:val="Heading 1 Char"/>
    <w:basedOn w:val="DefaultParagraphFont"/>
    <w:link w:val="Heading1"/>
    <w:rsid w:val="00720B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0B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0B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0BE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20BE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20B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0B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20BE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20B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0B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0B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0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0B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0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0B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0B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0B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0B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0B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0B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0B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0B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0B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0B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0B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0B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0B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0B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0BEC"/>
    <w:rPr>
      <w:b/>
      <w:spacing w:val="0"/>
    </w:rPr>
  </w:style>
  <w:style w:type="paragraph" w:customStyle="1" w:styleId="SuperTitle">
    <w:name w:val="SuperTitle"/>
    <w:basedOn w:val="Title"/>
    <w:rsid w:val="00720B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0B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0B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0B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0B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0B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0B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0B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0B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0B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0B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0BE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0BEC"/>
    <w:rPr>
      <w:i/>
    </w:rPr>
  </w:style>
  <w:style w:type="paragraph" w:styleId="Caption">
    <w:name w:val="caption"/>
    <w:basedOn w:val="BodyText"/>
    <w:next w:val="Normal"/>
    <w:qFormat/>
    <w:rsid w:val="00720B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0B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0B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0BEC"/>
  </w:style>
  <w:style w:type="paragraph" w:styleId="TableofFigures">
    <w:name w:val="table of figures"/>
    <w:basedOn w:val="Normal"/>
    <w:next w:val="Normal"/>
    <w:semiHidden/>
    <w:rsid w:val="00720B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0BE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20BEC"/>
    <w:rPr>
      <w:rFonts w:ascii="Wingdings" w:hAnsi="Wingdings"/>
    </w:rPr>
  </w:style>
  <w:style w:type="paragraph" w:customStyle="1" w:styleId="TableHeading">
    <w:name w:val="Table Heading"/>
    <w:basedOn w:val="HeadingBase"/>
    <w:rsid w:val="00720B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0BEC"/>
    <w:rPr>
      <w:color w:val="0033CC"/>
      <w:u w:val="none"/>
    </w:rPr>
  </w:style>
  <w:style w:type="paragraph" w:customStyle="1" w:styleId="BodyTextRight">
    <w:name w:val="Body Text Right"/>
    <w:basedOn w:val="BodyText"/>
    <w:rsid w:val="00720B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0B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0BE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0B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0B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0B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0BEC"/>
    <w:rPr>
      <w:sz w:val="32"/>
    </w:rPr>
  </w:style>
  <w:style w:type="paragraph" w:customStyle="1" w:styleId="HeadingProcedure">
    <w:name w:val="Heading Procedure"/>
    <w:basedOn w:val="HeadingBase"/>
    <w:next w:val="Normal"/>
    <w:rsid w:val="00720B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0BEC"/>
    <w:pPr>
      <w:spacing w:before="60" w:after="60"/>
    </w:pPr>
  </w:style>
  <w:style w:type="paragraph" w:styleId="ListContinue">
    <w:name w:val="List Continue"/>
    <w:basedOn w:val="List"/>
    <w:rsid w:val="00720BEC"/>
    <w:pPr>
      <w:ind w:firstLine="0"/>
    </w:pPr>
  </w:style>
  <w:style w:type="paragraph" w:customStyle="1" w:styleId="ListNote">
    <w:name w:val="List Note"/>
    <w:basedOn w:val="List"/>
    <w:rsid w:val="00720B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0B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0B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0BEC"/>
    <w:rPr>
      <w:rFonts w:ascii="Courier New" w:hAnsi="Courier New"/>
    </w:rPr>
  </w:style>
  <w:style w:type="paragraph" w:customStyle="1" w:styleId="NoteBullet">
    <w:name w:val="Note Bullet"/>
    <w:basedOn w:val="Note"/>
    <w:rsid w:val="00720B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0B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0B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0B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0BE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20B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0B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0BEC"/>
    <w:rPr>
      <w:b/>
      <w:smallCaps/>
    </w:rPr>
  </w:style>
  <w:style w:type="paragraph" w:customStyle="1" w:styleId="TableListNumber">
    <w:name w:val="Table List Number"/>
    <w:basedOn w:val="ListNumber"/>
    <w:rsid w:val="00720B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0B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0BEC"/>
    <w:pPr>
      <w:numPr>
        <w:numId w:val="10"/>
      </w:numPr>
    </w:pPr>
  </w:style>
  <w:style w:type="paragraph" w:customStyle="1" w:styleId="ListAlpha2">
    <w:name w:val="List Alpha 2"/>
    <w:basedOn w:val="List2"/>
    <w:rsid w:val="00720BEC"/>
    <w:pPr>
      <w:numPr>
        <w:numId w:val="9"/>
      </w:numPr>
    </w:pPr>
  </w:style>
  <w:style w:type="paragraph" w:styleId="List2">
    <w:name w:val="List 2"/>
    <w:basedOn w:val="BodyText"/>
    <w:rsid w:val="00720B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0B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0B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0BE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20BE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20BEC"/>
    <w:pPr>
      <w:numPr>
        <w:numId w:val="5"/>
      </w:numPr>
    </w:pPr>
  </w:style>
  <w:style w:type="paragraph" w:styleId="ListContinue2">
    <w:name w:val="List Continue 2"/>
    <w:basedOn w:val="List2"/>
    <w:rsid w:val="00720BEC"/>
    <w:pPr>
      <w:ind w:firstLine="0"/>
    </w:pPr>
  </w:style>
  <w:style w:type="paragraph" w:styleId="ListContinue3">
    <w:name w:val="List Continue 3"/>
    <w:basedOn w:val="List3"/>
    <w:rsid w:val="00720BEC"/>
    <w:pPr>
      <w:ind w:left="1021" w:firstLine="0"/>
    </w:pPr>
  </w:style>
  <w:style w:type="paragraph" w:styleId="ListContinue4">
    <w:name w:val="List Continue 4"/>
    <w:basedOn w:val="List4"/>
    <w:rsid w:val="00720BEC"/>
    <w:pPr>
      <w:ind w:firstLine="0"/>
    </w:pPr>
  </w:style>
  <w:style w:type="paragraph" w:styleId="ListContinue5">
    <w:name w:val="List Continue 5"/>
    <w:basedOn w:val="List5"/>
    <w:rsid w:val="00720BEC"/>
    <w:pPr>
      <w:ind w:firstLine="0"/>
    </w:pPr>
  </w:style>
  <w:style w:type="paragraph" w:styleId="ListNumber3">
    <w:name w:val="List Number 3"/>
    <w:basedOn w:val="List3"/>
    <w:rsid w:val="00720BEC"/>
    <w:pPr>
      <w:numPr>
        <w:numId w:val="6"/>
      </w:numPr>
    </w:pPr>
  </w:style>
  <w:style w:type="paragraph" w:styleId="ListNumber4">
    <w:name w:val="List Number 4"/>
    <w:basedOn w:val="List4"/>
    <w:rsid w:val="00720BEC"/>
    <w:pPr>
      <w:numPr>
        <w:numId w:val="7"/>
      </w:numPr>
    </w:pPr>
  </w:style>
  <w:style w:type="paragraph" w:styleId="ListNumber5">
    <w:name w:val="List Number 5"/>
    <w:basedOn w:val="List5"/>
    <w:rsid w:val="00720BEC"/>
    <w:pPr>
      <w:numPr>
        <w:numId w:val="8"/>
      </w:numPr>
    </w:pPr>
  </w:style>
  <w:style w:type="paragraph" w:styleId="BlockText">
    <w:name w:val="Block Text"/>
    <w:basedOn w:val="Normal"/>
    <w:rsid w:val="00720B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0B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0BEC"/>
    <w:rPr>
      <w:sz w:val="16"/>
      <w:vertAlign w:val="superscript"/>
    </w:rPr>
  </w:style>
  <w:style w:type="character" w:customStyle="1" w:styleId="Symbols">
    <w:name w:val="Symbols"/>
    <w:basedOn w:val="DefaultParagraphFont"/>
    <w:rsid w:val="00720BEC"/>
    <w:rPr>
      <w:rFonts w:ascii="Symbol" w:hAnsi="Symbol"/>
    </w:rPr>
  </w:style>
  <w:style w:type="character" w:customStyle="1" w:styleId="MenuOptions">
    <w:name w:val="Menu Options"/>
    <w:basedOn w:val="DefaultParagraphFont"/>
    <w:rsid w:val="00720B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0BEC"/>
    <w:rPr>
      <w:b/>
    </w:rPr>
  </w:style>
  <w:style w:type="character" w:customStyle="1" w:styleId="Underlined">
    <w:name w:val="Underlined"/>
    <w:basedOn w:val="DefaultParagraphFont"/>
    <w:rsid w:val="00720BEC"/>
    <w:rPr>
      <w:u w:val="single"/>
    </w:rPr>
  </w:style>
  <w:style w:type="paragraph" w:customStyle="1" w:styleId="TableBodyTextRight">
    <w:name w:val="Table Body Text Right"/>
    <w:basedOn w:val="TableBodyText"/>
    <w:rsid w:val="00720B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0BEC"/>
    <w:rPr>
      <w:sz w:val="18"/>
    </w:rPr>
  </w:style>
  <w:style w:type="paragraph" w:customStyle="1" w:styleId="BodySmallRight">
    <w:name w:val="Body Small Right"/>
    <w:basedOn w:val="BodyTextRight"/>
    <w:rsid w:val="00720BEC"/>
    <w:rPr>
      <w:sz w:val="18"/>
      <w:szCs w:val="18"/>
    </w:rPr>
  </w:style>
  <w:style w:type="paragraph" w:customStyle="1" w:styleId="MarginEdition">
    <w:name w:val="Margin Edition"/>
    <w:basedOn w:val="MarginNote"/>
    <w:rsid w:val="00720B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0BEC"/>
    <w:rPr>
      <w:sz w:val="2"/>
      <w:szCs w:val="2"/>
    </w:rPr>
  </w:style>
  <w:style w:type="character" w:customStyle="1" w:styleId="Small">
    <w:name w:val="Small"/>
    <w:basedOn w:val="DefaultParagraphFont"/>
    <w:rsid w:val="00720BEC"/>
    <w:rPr>
      <w:sz w:val="16"/>
    </w:rPr>
  </w:style>
  <w:style w:type="paragraph" w:customStyle="1" w:styleId="WideTable">
    <w:name w:val="Wide Table"/>
    <w:basedOn w:val="Normal"/>
    <w:rsid w:val="00720B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0BEC"/>
  </w:style>
  <w:style w:type="paragraph" w:styleId="Quote">
    <w:name w:val="Quote"/>
    <w:basedOn w:val="Heading1"/>
    <w:link w:val="QuoteChar"/>
    <w:qFormat/>
    <w:rsid w:val="00720B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0B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0BEC"/>
    <w:pPr>
      <w:pageBreakBefore/>
    </w:pPr>
  </w:style>
  <w:style w:type="paragraph" w:customStyle="1" w:styleId="Border">
    <w:name w:val="Border"/>
    <w:basedOn w:val="Normal"/>
    <w:qFormat/>
    <w:rsid w:val="00720B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0B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0B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0B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0B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0B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0B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0B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0B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0BEC"/>
    <w:rPr>
      <w:u w:val="single"/>
    </w:rPr>
  </w:style>
  <w:style w:type="character" w:customStyle="1" w:styleId="BoldandItalics">
    <w:name w:val="Bold and Italics"/>
    <w:qFormat/>
    <w:rsid w:val="00720BEC"/>
    <w:rPr>
      <w:b/>
      <w:i/>
      <w:u w:val="none"/>
    </w:rPr>
  </w:style>
  <w:style w:type="paragraph" w:styleId="BalloonText">
    <w:name w:val="Balloon Text"/>
    <w:basedOn w:val="Normal"/>
    <w:link w:val="BalloonTextChar"/>
    <w:rsid w:val="00720B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0B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0B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0B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0B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0B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0BEC"/>
    <w:pPr>
      <w:spacing w:before="0" w:after="0"/>
    </w:pPr>
  </w:style>
  <w:style w:type="paragraph" w:customStyle="1" w:styleId="BodyTextBold">
    <w:name w:val="Body Text Bold"/>
    <w:basedOn w:val="BodyText"/>
    <w:qFormat/>
    <w:rsid w:val="00720BEC"/>
    <w:rPr>
      <w:b/>
    </w:rPr>
  </w:style>
  <w:style w:type="character" w:styleId="Hyperlink">
    <w:name w:val="Hyperlink"/>
    <w:basedOn w:val="DefaultParagraphFont"/>
    <w:uiPriority w:val="99"/>
    <w:unhideWhenUsed/>
    <w:rsid w:val="00D172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1028</Words>
  <Characters>6713</Characters>
  <Application>Microsoft Office Word</Application>
  <DocSecurity>0</DocSecurity>
  <Lines>239</Lines>
  <Paragraphs>234</Paragraphs>
  <ScaleCrop>false</ScaleCrop>
  <Company>Author-it Software Corporation Ltd.</Company>
  <LinksUpToDate>false</LinksUpToDate>
  <CharactersWithSpaces>7507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HLTOTH001 Apply casts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2023-07-01T04:05:00Z</dcterms:created>
  <dcterms:modified xsi:type="dcterms:W3CDTF">2023-07-01T04:05:00Z</dcterms:modified>
</cp:coreProperties>
</file>