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EF7" w:rsidP="00EE4EF7">
      <w:pPr>
        <w:pStyle w:val="Title"/>
      </w:pPr>
      <w:r>
        <w:fldChar w:fldCharType="begin"/>
      </w:r>
      <w:r>
        <w:instrText xml:space="preserve"> TITLE   \* MERGEFORMAT </w:instrText>
      </w:r>
      <w:r>
        <w:fldChar w:fldCharType="separate"/>
      </w:r>
      <w:r>
        <w:t>HLTOPD003 Dispense atypical prescriptions</w:t>
      </w:r>
      <w:r>
        <w:fldChar w:fldCharType="end"/>
      </w:r>
    </w:p>
    <w:p w:rsidR="00EE4EF7" w:rsidP="00EE4EF7">
      <w:pPr>
        <w:pStyle w:val="Version"/>
        <w:sectPr w:rsidSect="00FE14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4FE" w:rsidP="00FE14FE">
      <w:pPr>
        <w:pStyle w:val="SuperHeading"/>
      </w:pPr>
      <w:r w:rsidRPr="00FE14FE">
        <w:t>HLTOPD003 Dispense atypical prescriptions</w:t>
      </w:r>
    </w:p>
    <w:p w:rsidR="00000000" w:rsidRPr="00FE14FE" w:rsidP="00FE14FE">
      <w:pPr>
        <w:pStyle w:val="Heading1"/>
      </w:pPr>
      <w:bookmarkStart w:id="1" w:name="O_656966"/>
      <w:bookmarkEnd w:id="1"/>
      <w:r w:rsidRPr="00FE14FE">
        <w:t>Modification History</w:t>
      </w:r>
    </w:p>
    <w:tbl>
      <w:tblPr>
        <w:tblW w:w="0" w:type="auto"/>
        <w:tblLayout w:type="fixed"/>
        <w:tblCellMar>
          <w:left w:w="62" w:type="dxa"/>
          <w:right w:w="62" w:type="dxa"/>
        </w:tblCellMar>
        <w:tblLook w:val="0000"/>
      </w:tblPr>
      <w:tblGrid>
        <w:gridCol w:w="2790"/>
        <w:gridCol w:w="6344"/>
      </w:tblGrid>
      <w:tr w:rsidTr="00FE14F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FE" w:rsidP="00FE14FE">
            <w:pPr>
              <w:pStyle w:val="BodyText"/>
            </w:pPr>
            <w:r w:rsidRPr="00FE14F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FE">
            <w:pPr>
              <w:pStyle w:val="BodyText"/>
              <w:rPr>
                <w:lang w:val="en-NZ"/>
              </w:rPr>
            </w:pPr>
            <w:r w:rsidRPr="00FE14FE">
              <w:rPr>
                <w:rStyle w:val="SpecialBold"/>
              </w:rPr>
              <w:t>Comments</w:t>
            </w:r>
          </w:p>
        </w:tc>
      </w:tr>
      <w:tr w:rsidTr="00FE14F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FE">
            <w:pPr>
              <w:pStyle w:val="BodyText"/>
              <w:rPr>
                <w:lang w:val="en-NZ"/>
              </w:rPr>
            </w:pPr>
            <w:r w:rsidRPr="00FE14F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FE" w:rsidP="00FE14FE">
            <w:pPr>
              <w:pStyle w:val="BodyText"/>
            </w:pPr>
            <w:r w:rsidRPr="00FE14FE">
              <w:t xml:space="preserve">This version was released in </w:t>
            </w:r>
            <w:r w:rsidRPr="00FE14FE">
              <w:rPr>
                <w:rStyle w:val="Emphasis"/>
              </w:rPr>
              <w:t>HLT Health Training Package release 2.0</w:t>
            </w:r>
            <w:r w:rsidRPr="00FE14FE">
              <w:t xml:space="preserve"> and meets the requirements of the 2012 Standards for Training Packages.</w:t>
            </w:r>
          </w:p>
          <w:p w:rsidR="00000000" w:rsidRPr="00FE14FE" w:rsidP="00FE14FE">
            <w:pPr>
              <w:pStyle w:val="BodyText"/>
            </w:pPr>
            <w:r w:rsidRPr="00FE14FE">
              <w:t>Significant changes to the elements and performance criteria. New</w:t>
            </w:r>
            <w:r w:rsidRPr="00FE14FE">
              <w:t xml:space="preserve"> evidence requirements for assessment, including volume and frequency requirements. Significant change to knowledge evidence. Removed prerequisites.</w:t>
            </w:r>
          </w:p>
        </w:tc>
      </w:tr>
    </w:tbl>
    <w:p w:rsidR="00EE4EF7" w:rsidP="00FE14FE">
      <w:pPr>
        <w:pStyle w:val="BodyText"/>
      </w:pPr>
    </w:p>
    <w:p w:rsidR="00EE4EF7" w:rsidP="00FE14FE">
      <w:pPr>
        <w:pStyle w:val="BodyText"/>
      </w:pPr>
    </w:p>
    <w:p w:rsidR="00000000" w:rsidRPr="00FE14FE" w:rsidP="00FE14FE">
      <w:pPr>
        <w:pStyle w:val="Heading1"/>
      </w:pPr>
      <w:bookmarkStart w:id="2" w:name="O_656967"/>
      <w:bookmarkEnd w:id="2"/>
      <w:r w:rsidRPr="00FE14FE">
        <w:t>Application</w:t>
      </w:r>
    </w:p>
    <w:p w:rsidR="00000000" w:rsidRPr="00FE14FE" w:rsidP="00EE4EF7">
      <w:pPr>
        <w:pStyle w:val="BodyText"/>
      </w:pPr>
      <w:r w:rsidRPr="00FE14FE">
        <w:t>This unit describes the skills and knowledge required to evaluate client ne</w:t>
      </w:r>
      <w:r w:rsidRPr="00FE14FE">
        <w:t>eds, take measurements and make calculations to facilitate effective dispensing for atypical prescriptions, including for low vision clients. Low vision occurs when, after accurate refraction and the provision of spectacles or contact lenses to correct the</w:t>
      </w:r>
      <w:r w:rsidRPr="00FE14FE">
        <w:t xml:space="preserve"> refractive error, good visual acuity is not achievable.</w:t>
      </w:r>
    </w:p>
    <w:p w:rsidR="00000000" w:rsidRPr="00FE14FE" w:rsidP="00EE4EF7">
      <w:pPr>
        <w:pStyle w:val="BodyText"/>
      </w:pPr>
      <w:r w:rsidRPr="00FE14FE">
        <w:t>This unit applies to optical dispensers who work according to prescriptions provided by optometrists or ophthalmologists.</w:t>
      </w:r>
    </w:p>
    <w:p w:rsidR="00EE4EF7" w:rsidRPr="00EE4EF7" w:rsidP="00EE4EF7">
      <w:pPr>
        <w:pStyle w:val="BodyText"/>
        <w:rPr>
          <w:i/>
        </w:rPr>
      </w:pPr>
      <w:r w:rsidRPr="00EE4EF7">
        <w:rPr>
          <w:rStyle w:val="Emphasis"/>
        </w:rPr>
        <w:t>The skills in this unit must be applied in accordance with Commonwealth and</w:t>
      </w:r>
      <w:r w:rsidRPr="00EE4EF7">
        <w:rPr>
          <w:rStyle w:val="Emphasis"/>
        </w:rPr>
        <w:t xml:space="preserve"> State/Territory legislation, Australian/New Zealand standards and industry codes of practice.</w:t>
      </w:r>
    </w:p>
    <w:p w:rsidR="00000000" w:rsidRPr="00FE14FE" w:rsidP="00FE14FE">
      <w:pPr>
        <w:pStyle w:val="Heading1"/>
      </w:pPr>
      <w:bookmarkStart w:id="3" w:name="O_656971"/>
      <w:bookmarkEnd w:id="3"/>
      <w:r w:rsidRPr="00FE14FE">
        <w:t>Elements and Performance Criteria</w:t>
      </w:r>
    </w:p>
    <w:tbl>
      <w:tblPr>
        <w:tblW w:w="0" w:type="auto"/>
        <w:tblLayout w:type="fixed"/>
        <w:tblCellMar>
          <w:left w:w="62" w:type="dxa"/>
          <w:right w:w="62" w:type="dxa"/>
        </w:tblCellMar>
        <w:tblLook w:val="0000"/>
      </w:tblPr>
      <w:tblGrid>
        <w:gridCol w:w="3261"/>
        <w:gridCol w:w="5702"/>
      </w:tblGrid>
      <w:tr w:rsidTr="00FE14F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r w:rsidRPr="00FE14FE">
              <w:rPr>
                <w:rStyle w:val="SpecialBold"/>
              </w:rPr>
              <w:t>PERFORMANCE CRITERIA</w:t>
            </w:r>
          </w:p>
        </w:tc>
      </w:tr>
      <w:tr w:rsidTr="00FE14F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r w:rsidRPr="00FE14FE">
              <w:rPr>
                <w:rStyle w:val="Emphasis"/>
              </w:rPr>
              <w:t>Performance criteria describe the performance needed to demonstrate achievement of the element.</w:t>
            </w: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r w:rsidRPr="00FE14FE">
              <w:t>1. Evaluate client needs</w:t>
            </w:r>
          </w:p>
        </w:tc>
        <w:tc>
          <w:tcPr>
            <w:tcW w:w="5702"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t>1.1 Interpret the parameters of atypical prescriptions and transpose as required</w:t>
            </w:r>
          </w:p>
          <w:p w:rsidR="00000000" w:rsidRPr="00FE14FE" w:rsidP="00FE14FE">
            <w:pPr>
              <w:pStyle w:val="BodyText"/>
            </w:pPr>
            <w:r w:rsidRPr="00FE14FE">
              <w:t xml:space="preserve">1.2 Analyse the prescription and identify areas of </w:t>
            </w:r>
            <w:r w:rsidRPr="00FE14FE">
              <w:t>fr</w:t>
            </w:r>
            <w:r w:rsidRPr="00FE14FE">
              <w:t>eedom and constraints</w:t>
            </w:r>
          </w:p>
          <w:p w:rsidR="00000000" w:rsidRPr="00FE14FE" w:rsidP="00FE14FE">
            <w:pPr>
              <w:pStyle w:val="BodyText"/>
            </w:pPr>
            <w:r w:rsidRPr="00FE14FE">
              <w:t xml:space="preserve">1.3 Assess the individual needs and requirements of the client </w:t>
            </w:r>
          </w:p>
          <w:p w:rsidR="00000000" w:rsidP="00FE14FE">
            <w:pPr>
              <w:pStyle w:val="BodyText"/>
              <w:rPr>
                <w:lang w:val="en-NZ"/>
              </w:rPr>
            </w:pPr>
            <w:r w:rsidRPr="00FE14FE">
              <w:t>1.4 Select possible frame, lens and treatment combinations to suit individual requirements based on principles of low vision aid selection, depending on client’s needs</w:t>
            </w: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r w:rsidRPr="00FE14FE">
              <w:t>2. Determine specifications for atypical prescriptions</w:t>
            </w:r>
          </w:p>
        </w:tc>
        <w:tc>
          <w:tcPr>
            <w:tcW w:w="5702"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t>2.1 Take accurate measurements and make calculations necessary to accurately dispense atypical prescriptions</w:t>
            </w:r>
          </w:p>
          <w:p w:rsidR="00000000" w:rsidRPr="00FE14FE" w:rsidP="00FE14FE">
            <w:pPr>
              <w:pStyle w:val="BodyText"/>
            </w:pPr>
            <w:r w:rsidRPr="00FE14FE">
              <w:t xml:space="preserve">2.2 Select option that best meets cosmetic, optical and functional needs </w:t>
            </w:r>
          </w:p>
          <w:p w:rsidR="00000000" w:rsidP="00FE14FE">
            <w:pPr>
              <w:pStyle w:val="BodyText"/>
              <w:rPr>
                <w:lang w:val="en-NZ"/>
              </w:rPr>
            </w:pPr>
            <w:r w:rsidRPr="00FE14FE">
              <w:t>2.3 Determine the correct working distance for low vision aids</w:t>
            </w: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t>3. Fit frames and lenses for atypical prescriptions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t>3.1 Organise required fitting equipment and materials</w:t>
            </w:r>
          </w:p>
          <w:p w:rsidR="00000000" w:rsidRPr="00FE14FE" w:rsidP="00FE14FE">
            <w:pPr>
              <w:pStyle w:val="BodyText"/>
            </w:pPr>
            <w:r w:rsidRPr="00FE14FE">
              <w:t>3.2 Select and specify appropriate bevelling and edging requirements to enhance th</w:t>
            </w:r>
            <w:r w:rsidRPr="00FE14FE">
              <w:t>e cosmetics and quality of the spectacles</w:t>
            </w:r>
          </w:p>
          <w:p w:rsidR="00000000" w:rsidRPr="00FE14FE" w:rsidP="00FE14FE">
            <w:pPr>
              <w:pStyle w:val="BodyText"/>
            </w:pPr>
            <w:r w:rsidRPr="00FE14FE">
              <w:t>3.3 Select appropriate lens treatments or additional requirements to maximise the visual performance and enhance the quality of the finished spectacles</w:t>
            </w:r>
          </w:p>
          <w:p w:rsidR="00000000" w:rsidRPr="00FE14FE" w:rsidP="00FE14FE">
            <w:pPr>
              <w:pStyle w:val="BodyText"/>
            </w:pPr>
            <w:r w:rsidRPr="00FE14FE">
              <w:t>3.4 Measure and specify the most appropriate lens fitting crit</w:t>
            </w:r>
            <w:r w:rsidRPr="00FE14FE">
              <w:t>eria</w:t>
            </w:r>
          </w:p>
          <w:p w:rsidR="00000000" w:rsidRPr="00FE14FE" w:rsidP="00FE14FE">
            <w:pPr>
              <w:pStyle w:val="BodyText"/>
            </w:pPr>
            <w:r w:rsidRPr="00FE14FE">
              <w:t>3.5 Ensure the quality of the finished spectacles</w:t>
            </w:r>
          </w:p>
          <w:p w:rsidR="00000000" w:rsidP="00FE14FE">
            <w:pPr>
              <w:pStyle w:val="BodyText"/>
              <w:rPr>
                <w:lang w:val="en-NZ"/>
              </w:rPr>
            </w:pPr>
            <w:r w:rsidRPr="00FE14FE">
              <w:t>3.6 Fit and adjust the spectacles to client needs</w:t>
            </w: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t>4. Instruct client on wear and care</w:t>
            </w:r>
          </w:p>
          <w:p w:rsidR="00000000" w:rsidP="00FE14FE">
            <w:pPr>
              <w:pStyle w:val="BodyText"/>
              <w:rPr>
                <w:lang w:val="en-NZ"/>
              </w:rPr>
            </w:pPr>
            <w:r w:rsidRPr="00FE14FE">
              <w:t xml:space="preserve"> </w:t>
            </w:r>
          </w:p>
        </w:tc>
        <w:tc>
          <w:tcPr>
            <w:tcW w:w="5702"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t>4.1 Provide client with details about how to wear the appliance</w:t>
            </w:r>
          </w:p>
          <w:p w:rsidR="00000000" w:rsidRPr="00FE14FE" w:rsidP="00FE14FE">
            <w:pPr>
              <w:pStyle w:val="BodyText"/>
            </w:pPr>
            <w:r w:rsidRPr="00FE14FE">
              <w:t>4.2 Offer information about appliance care ro</w:t>
            </w:r>
            <w:r w:rsidRPr="00FE14FE">
              <w:t xml:space="preserve">utines </w:t>
            </w:r>
          </w:p>
          <w:p w:rsidR="00000000" w:rsidP="00FE14FE">
            <w:pPr>
              <w:pStyle w:val="BodyText"/>
              <w:rPr>
                <w:lang w:val="en-NZ"/>
              </w:rPr>
            </w:pPr>
            <w:r w:rsidRPr="00FE14FE">
              <w:t>4.3 Reinforce and support advice provided by low vision practitioner on correct use of low-vision aids</w:t>
            </w: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p>
        </w:tc>
      </w:tr>
      <w:tr w:rsidTr="00FE14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r w:rsidRPr="00FE14FE">
              <w:t>5. Finalise dispensing process</w:t>
            </w:r>
          </w:p>
        </w:tc>
        <w:tc>
          <w:tcPr>
            <w:tcW w:w="5702" w:type="dxa"/>
            <w:tcBorders>
              <w:top w:val="nil"/>
              <w:left w:val="nil"/>
              <w:bottom w:val="nil"/>
              <w:right w:val="nil"/>
            </w:tcBorders>
            <w:tcMar>
              <w:top w:w="0" w:type="dxa"/>
              <w:left w:w="62" w:type="dxa"/>
              <w:bottom w:w="0" w:type="dxa"/>
              <w:right w:w="62" w:type="dxa"/>
            </w:tcMar>
          </w:tcPr>
          <w:p w:rsidR="00000000" w:rsidRPr="00FE14FE" w:rsidP="00FE14FE">
            <w:pPr>
              <w:pStyle w:val="BodyText"/>
            </w:pPr>
            <w:r w:rsidRPr="00FE14FE">
              <w:t>5.1 Complete financial transactions in accordance with relevant policies and procedures</w:t>
            </w:r>
          </w:p>
          <w:p w:rsidR="00000000" w:rsidRPr="00FE14FE" w:rsidP="00FE14FE">
            <w:pPr>
              <w:pStyle w:val="BodyText"/>
            </w:pPr>
            <w:r w:rsidRPr="00FE14FE">
              <w:t xml:space="preserve">5.2 Follow correct procedures for client rebates </w:t>
            </w:r>
          </w:p>
          <w:p w:rsidR="00000000" w:rsidRPr="00FE14FE" w:rsidP="00FE14FE">
            <w:pPr>
              <w:pStyle w:val="BodyText"/>
            </w:pPr>
            <w:r w:rsidRPr="00FE14FE">
              <w:t>5.3 Complete and store records in accordance with relevant policies, procedures and confidentiality requirements</w:t>
            </w:r>
          </w:p>
          <w:p w:rsidR="00000000" w:rsidRPr="00FE14FE" w:rsidP="00FE14FE">
            <w:pPr>
              <w:pStyle w:val="BodyText"/>
            </w:pPr>
            <w:r w:rsidRPr="00FE14FE">
              <w:t>5.4 Offer follow up services in accordance with organisation procedures</w:t>
            </w:r>
          </w:p>
        </w:tc>
      </w:tr>
    </w:tbl>
    <w:p w:rsidR="00EE4EF7" w:rsidP="00FE14FE">
      <w:pPr>
        <w:pStyle w:val="BodyText"/>
      </w:pPr>
    </w:p>
    <w:p w:rsidR="00EE4EF7" w:rsidP="00FE14FE">
      <w:pPr>
        <w:pStyle w:val="BodyText"/>
      </w:pPr>
    </w:p>
    <w:p w:rsidR="00000000" w:rsidRPr="00FE14FE" w:rsidP="00FE14FE">
      <w:pPr>
        <w:pStyle w:val="Heading1"/>
      </w:pPr>
      <w:bookmarkStart w:id="4" w:name="O_656972"/>
      <w:bookmarkEnd w:id="4"/>
      <w:r w:rsidRPr="00FE14FE">
        <w:t>F</w:t>
      </w:r>
      <w:r w:rsidRPr="00FE14FE">
        <w:t>oundation Skills</w:t>
      </w:r>
    </w:p>
    <w:tbl>
      <w:tblPr>
        <w:tblW w:w="0" w:type="auto"/>
        <w:tblLayout w:type="fixed"/>
        <w:tblCellMar>
          <w:left w:w="62" w:type="dxa"/>
          <w:right w:w="62" w:type="dxa"/>
        </w:tblCellMar>
        <w:tblLook w:val="0000"/>
      </w:tblPr>
      <w:tblGrid>
        <w:gridCol w:w="8964"/>
      </w:tblGrid>
      <w:tr w:rsidTr="00FE14F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E14FE">
            <w:pPr>
              <w:pStyle w:val="BodyText"/>
              <w:rPr>
                <w:lang w:val="en-NZ"/>
              </w:rPr>
            </w:pPr>
            <w:r w:rsidRPr="00FE14FE">
              <w:rPr>
                <w:rStyle w:val="Emphasis"/>
              </w:rPr>
              <w:t xml:space="preserve">The Foundation Skills describe those required skills (language, literacy, numeracy and employment </w:t>
            </w:r>
            <w:r w:rsidRPr="00FE14FE">
              <w:t xml:space="preserve">skills) that are essential </w:t>
            </w:r>
            <w:r w:rsidRPr="00FE14FE">
              <w:rPr>
                <w:rStyle w:val="Emphasis"/>
              </w:rPr>
              <w:t>to performance.</w:t>
            </w:r>
          </w:p>
        </w:tc>
      </w:tr>
      <w:tr w:rsidTr="00FE14F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E14FE" w:rsidP="00FE14FE">
            <w:pPr>
              <w:pStyle w:val="BodyText"/>
            </w:pPr>
          </w:p>
          <w:p w:rsidR="00000000" w:rsidRPr="00FE14FE" w:rsidP="00FE14FE">
            <w:pPr>
              <w:pStyle w:val="BodyText"/>
            </w:pPr>
            <w:r w:rsidRPr="00FE14FE">
              <w:t>Foundation skills essential to performance are explicit in the performance criteria of this unit of competency.</w:t>
            </w:r>
          </w:p>
        </w:tc>
      </w:tr>
    </w:tbl>
    <w:p w:rsidR="00EE4EF7" w:rsidP="00FE14FE">
      <w:pPr>
        <w:pStyle w:val="BodyText"/>
      </w:pPr>
    </w:p>
    <w:p w:rsidR="00EE4EF7" w:rsidP="00FE14FE">
      <w:pPr>
        <w:pStyle w:val="BodyText"/>
      </w:pPr>
    </w:p>
    <w:p w:rsidR="00000000" w:rsidRPr="00FE14FE" w:rsidP="00FE14FE">
      <w:pPr>
        <w:pStyle w:val="Heading1"/>
      </w:pPr>
      <w:bookmarkStart w:id="5" w:name="O_656974"/>
      <w:bookmarkEnd w:id="5"/>
      <w:r w:rsidRPr="00FE14FE">
        <w:t>Unit Mapping Information</w:t>
      </w:r>
    </w:p>
    <w:p w:rsidR="00000000" w:rsidRPr="00FE14FE" w:rsidP="00EE4EF7">
      <w:pPr>
        <w:pStyle w:val="BodyText"/>
      </w:pPr>
      <w:r w:rsidRPr="00FE14FE">
        <w:t xml:space="preserve">No equivalent unit. </w:t>
      </w:r>
    </w:p>
    <w:p w:rsidR="00000000" w:rsidRPr="00FE14FE" w:rsidP="00FE14FE">
      <w:pPr>
        <w:pStyle w:val="Heading1"/>
      </w:pPr>
      <w:bookmarkStart w:id="6" w:name="O_656981"/>
      <w:bookmarkEnd w:id="6"/>
      <w:r w:rsidRPr="00FE14FE">
        <w:t>Links</w:t>
      </w:r>
    </w:p>
    <w:p w:rsidR="00000000" w:rsidRPr="00FE14FE" w:rsidP="00EE4EF7">
      <w:pPr>
        <w:pStyle w:val="BodyText"/>
      </w:pPr>
      <w:r w:rsidRPr="00FE14FE">
        <w:t>Companion Volume implementation guides are found in VET</w:t>
      </w:r>
      <w:r w:rsidRPr="00FE14FE">
        <w:t xml:space="preserve">Net - </w:t>
      </w:r>
      <w:r>
        <w:fldChar w:fldCharType="begin"/>
      </w:r>
      <w:r>
        <w:instrText xml:space="preserve"> HYPERLINK "https://vetnet.gov.au/Pages/TrainingDocs.aspx?q=ced1390f-48d9-4ab0-bd50-b015e5485705" </w:instrText>
      </w:r>
      <w:r>
        <w:fldChar w:fldCharType="separate"/>
      </w:r>
      <w:r w:rsidRPr="0024764E">
        <w:rPr>
          <w:rStyle w:val="Hyperlink"/>
        </w:rPr>
        <w:t>https://vetnet.gov.au/Pages/TrainingDocs.aspx?q=ced1390f-48d9-4ab0-bd50-b015e5485705</w:t>
      </w:r>
      <w:r>
        <w:fldChar w:fldCharType="end"/>
      </w:r>
    </w:p>
    <w:p w:rsidR="00000000" w:rsidRPr="00FE14FE" w:rsidP="00EE4EF7">
      <w:pPr>
        <w:pStyle w:val="BodyText"/>
        <w:sectPr w:rsidSect="00FE14FE">
          <w:headerReference w:type="default" r:id="rId10"/>
          <w:footerReference w:type="default" r:id="rId11"/>
          <w:pgSz w:w="11908" w:h="16833"/>
          <w:pgMar w:top="1702" w:right="1418" w:bottom="1702" w:left="1418" w:header="992" w:footer="992" w:gutter="0"/>
          <w:cols w:space="720"/>
          <w:noEndnote/>
          <w:docGrid w:linePitch="299"/>
        </w:sectPr>
      </w:pPr>
    </w:p>
    <w:p w:rsidR="00000000" w:rsidRPr="00FE14FE" w:rsidP="00FE14FE">
      <w:pPr>
        <w:pStyle w:val="SuperHeading"/>
      </w:pPr>
      <w:r w:rsidRPr="00FE14FE">
        <w:t>Assessment Requirements for HLTOPD003 Dispense atypical prescriptions</w:t>
      </w:r>
    </w:p>
    <w:p w:rsidR="00000000" w:rsidRPr="00FE14FE" w:rsidP="00FE14FE">
      <w:pPr>
        <w:pStyle w:val="Heading1"/>
      </w:pPr>
      <w:bookmarkStart w:id="7" w:name="O_656976"/>
      <w:bookmarkEnd w:id="7"/>
      <w:r w:rsidRPr="00FE14FE">
        <w:t>Modification History</w:t>
      </w:r>
    </w:p>
    <w:tbl>
      <w:tblPr>
        <w:tblW w:w="0" w:type="auto"/>
        <w:tblLayout w:type="fixed"/>
        <w:tblCellMar>
          <w:left w:w="62" w:type="dxa"/>
          <w:right w:w="62" w:type="dxa"/>
        </w:tblCellMar>
        <w:tblLook w:val="0000"/>
      </w:tblPr>
      <w:tblGrid>
        <w:gridCol w:w="2790"/>
        <w:gridCol w:w="6344"/>
      </w:tblGrid>
      <w:tr w:rsidTr="00FE14F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FE" w:rsidP="00FE14FE">
            <w:pPr>
              <w:pStyle w:val="BodyText"/>
            </w:pPr>
            <w:r w:rsidRPr="00FE14F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FE">
            <w:pPr>
              <w:pStyle w:val="BodyText"/>
              <w:rPr>
                <w:lang w:val="en-NZ"/>
              </w:rPr>
            </w:pPr>
            <w:r w:rsidRPr="00FE14FE">
              <w:rPr>
                <w:rStyle w:val="SpecialBold"/>
              </w:rPr>
              <w:t>Co</w:t>
            </w:r>
            <w:r w:rsidRPr="00FE14FE">
              <w:rPr>
                <w:rStyle w:val="SpecialBold"/>
              </w:rPr>
              <w:t>mments</w:t>
            </w:r>
          </w:p>
        </w:tc>
      </w:tr>
      <w:tr w:rsidTr="00FE14F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FE">
            <w:pPr>
              <w:pStyle w:val="BodyText"/>
              <w:rPr>
                <w:lang w:val="en-NZ"/>
              </w:rPr>
            </w:pPr>
            <w:r w:rsidRPr="00FE14F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FE" w:rsidP="00FE14FE">
            <w:pPr>
              <w:pStyle w:val="BodyText"/>
            </w:pPr>
            <w:r w:rsidRPr="00FE14FE">
              <w:t xml:space="preserve">This version was released in </w:t>
            </w:r>
            <w:r w:rsidRPr="00FE14FE">
              <w:rPr>
                <w:rStyle w:val="Emphasis"/>
              </w:rPr>
              <w:t>HLT Health Training Package release 2.0</w:t>
            </w:r>
            <w:r w:rsidRPr="00FE14FE">
              <w:t xml:space="preserve"> and meets the requirements of the 2012 Standards for Training Packages.</w:t>
            </w:r>
          </w:p>
          <w:p w:rsidR="00000000" w:rsidRPr="00FE14FE" w:rsidP="00FE14FE">
            <w:pPr>
              <w:pStyle w:val="BodyText"/>
            </w:pPr>
            <w:r w:rsidRPr="00FE14FE">
              <w:t>Significant changes to the elements</w:t>
            </w:r>
            <w:r w:rsidRPr="00FE14FE">
              <w:t xml:space="preserve"> and performance criteria. New evidence requirements for assessment, including volume and frequency requirements. Significant change to knowledge evidence. Removed prerequisites.</w:t>
            </w:r>
          </w:p>
        </w:tc>
      </w:tr>
    </w:tbl>
    <w:p w:rsidR="00EE4EF7" w:rsidP="00FE14FE">
      <w:pPr>
        <w:pStyle w:val="BodyText"/>
      </w:pPr>
    </w:p>
    <w:p w:rsidR="00EE4EF7" w:rsidP="00FE14FE">
      <w:pPr>
        <w:pStyle w:val="BodyText"/>
      </w:pPr>
    </w:p>
    <w:p w:rsidR="00000000" w:rsidRPr="00FE14FE" w:rsidP="00FE14FE">
      <w:pPr>
        <w:pStyle w:val="Heading1"/>
      </w:pPr>
      <w:bookmarkStart w:id="8" w:name="O_656977"/>
      <w:bookmarkEnd w:id="8"/>
      <w:r w:rsidRPr="00FE14FE">
        <w:t>Performance Evidence</w:t>
      </w:r>
    </w:p>
    <w:p w:rsidR="00000000" w:rsidRPr="00FE14FE" w:rsidP="00EE4EF7">
      <w:pPr>
        <w:pStyle w:val="BodyText"/>
      </w:pPr>
      <w:r w:rsidRPr="00FE14F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E14FE" w:rsidP="00FE14FE">
      <w:pPr>
        <w:pStyle w:val="ListBullet"/>
      </w:pPr>
      <w:r w:rsidRPr="00FE14FE">
        <w:t>dispensed op</w:t>
      </w:r>
      <w:r w:rsidRPr="00FE14FE">
        <w:t>tical appliances in response to at least 5 different atypical prescription needs</w:t>
      </w:r>
    </w:p>
    <w:p w:rsidR="00000000" w:rsidRPr="00FE14FE" w:rsidP="00FE14FE">
      <w:pPr>
        <w:pStyle w:val="ListBullet"/>
      </w:pPr>
      <w:r w:rsidRPr="00FE14FE">
        <w:t>determined the criteria for atypical dispensing, including making accurate calculations for the following:</w:t>
      </w:r>
    </w:p>
    <w:p w:rsidR="00000000" w:rsidRPr="00FE14FE" w:rsidP="00FE14FE">
      <w:pPr>
        <w:pStyle w:val="ListBullet2"/>
      </w:pPr>
      <w:r w:rsidRPr="00FE14FE">
        <w:t>change in vertex distance</w:t>
      </w:r>
    </w:p>
    <w:p w:rsidR="00000000" w:rsidRPr="00FE14FE" w:rsidP="00FE14FE">
      <w:pPr>
        <w:pStyle w:val="ListBullet2"/>
      </w:pPr>
      <w:r w:rsidRPr="00FE14FE">
        <w:t>compensated power (Fc)</w:t>
      </w:r>
    </w:p>
    <w:p w:rsidR="00000000" w:rsidRPr="00FE14FE" w:rsidP="00FE14FE">
      <w:pPr>
        <w:pStyle w:val="ListBullet2"/>
      </w:pPr>
      <w:r w:rsidRPr="00FE14FE">
        <w:t>effective power (Fe)</w:t>
      </w:r>
    </w:p>
    <w:p w:rsidR="00000000" w:rsidRPr="00FE14FE" w:rsidP="00FE14FE">
      <w:pPr>
        <w:pStyle w:val="ListBullet2"/>
      </w:pPr>
      <w:r w:rsidRPr="00FE14FE">
        <w:t>effectivity</w:t>
      </w:r>
    </w:p>
    <w:p w:rsidR="00000000" w:rsidRPr="00FE14FE" w:rsidP="00FE14FE">
      <w:pPr>
        <w:pStyle w:val="ListBullet2"/>
      </w:pPr>
      <w:r w:rsidRPr="00FE14FE">
        <w:t>prescriptions requiring compensations</w:t>
      </w:r>
    </w:p>
    <w:p w:rsidR="00000000" w:rsidRPr="00FE14FE" w:rsidP="00FE14FE">
      <w:pPr>
        <w:pStyle w:val="ListBullet"/>
      </w:pPr>
      <w:r w:rsidRPr="00FE14FE">
        <w:t>calculated differential prismatic effect and compensation using different sized segments, Fresnel prisms, or slab off bifocals</w:t>
      </w:r>
    </w:p>
    <w:p w:rsidR="00000000" w:rsidRPr="00FE14FE" w:rsidP="00FE14FE">
      <w:pPr>
        <w:pStyle w:val="ListBullet"/>
      </w:pPr>
      <w:r w:rsidRPr="00FE14FE">
        <w:t>calculated field of view and determine ways to improve th</w:t>
      </w:r>
      <w:r w:rsidRPr="00FE14FE">
        <w:t>e field of view</w:t>
      </w:r>
    </w:p>
    <w:p w:rsidR="00000000" w:rsidRPr="00FE14FE" w:rsidP="00FE14FE">
      <w:pPr>
        <w:pStyle w:val="ListBullet"/>
      </w:pPr>
      <w:r w:rsidRPr="00FE14FE">
        <w:t>calculated spectacle magnification and determine ways to reduce the effects of aniseikonia</w:t>
      </w:r>
    </w:p>
    <w:p w:rsidR="00000000" w:rsidRPr="00FE14FE" w:rsidP="00FE14FE">
      <w:pPr>
        <w:pStyle w:val="ListBullet"/>
      </w:pPr>
      <w:r w:rsidRPr="00FE14FE">
        <w:t>compounded and resolved prism</w:t>
      </w:r>
    </w:p>
    <w:p w:rsidR="00000000" w:rsidRPr="00FE14FE" w:rsidP="00FE14FE">
      <w:pPr>
        <w:pStyle w:val="AllowPageBreak"/>
      </w:pPr>
    </w:p>
    <w:p w:rsidR="00000000" w:rsidRPr="00FE14FE" w:rsidP="00FE14FE">
      <w:pPr>
        <w:pStyle w:val="Heading1"/>
      </w:pPr>
      <w:bookmarkStart w:id="9" w:name="O_656978"/>
      <w:bookmarkEnd w:id="9"/>
      <w:r w:rsidRPr="00FE14FE">
        <w:t>Knowledge Evidence</w:t>
      </w:r>
    </w:p>
    <w:p w:rsidR="00000000" w:rsidRPr="00FE14FE" w:rsidP="00EE4EF7">
      <w:pPr>
        <w:pStyle w:val="BodyText"/>
      </w:pPr>
      <w:r w:rsidRPr="00FE14FE">
        <w:t>The candidate must be able to demonstrate essential knowledge required to effective</w:t>
      </w:r>
      <w:r w:rsidRPr="00FE14FE">
        <w:t>ly complete tasks outlined in elements and performance criteria of this unit, manage tasks and manage contingencies in the context of the work role. This includes knowledge of:</w:t>
      </w:r>
    </w:p>
    <w:p w:rsidR="00000000" w:rsidRPr="00FE14FE" w:rsidP="00FE14FE">
      <w:pPr>
        <w:pStyle w:val="ListBullet"/>
      </w:pPr>
      <w:r w:rsidRPr="00FE14FE">
        <w:t>legal and ethical considerations for dispensing optical advice to clients:</w:t>
      </w:r>
    </w:p>
    <w:p w:rsidR="00000000" w:rsidRPr="00FE14FE" w:rsidP="00FE14FE">
      <w:pPr>
        <w:pStyle w:val="ListBullet2"/>
      </w:pPr>
      <w:r w:rsidRPr="00FE14FE">
        <w:t xml:space="preserve">duty of care </w:t>
      </w:r>
    </w:p>
    <w:p w:rsidR="00000000" w:rsidRPr="00FE14FE" w:rsidP="00FE14FE">
      <w:pPr>
        <w:pStyle w:val="ListBullet2"/>
      </w:pPr>
      <w:r w:rsidRPr="00FE14FE">
        <w:t xml:space="preserve">informed consent </w:t>
      </w:r>
    </w:p>
    <w:p w:rsidR="00000000" w:rsidRPr="00FE14FE" w:rsidP="00FE14FE">
      <w:pPr>
        <w:pStyle w:val="ListBullet2"/>
      </w:pPr>
      <w:r w:rsidRPr="00FE14FE">
        <w:t>privacy, confidentiality and disclosure</w:t>
      </w:r>
    </w:p>
    <w:p w:rsidR="00000000" w:rsidRPr="00FE14FE" w:rsidP="00FE14FE">
      <w:pPr>
        <w:pStyle w:val="ListBullet2"/>
      </w:pPr>
      <w:r w:rsidRPr="00FE14FE">
        <w:t xml:space="preserve">records management </w:t>
      </w:r>
    </w:p>
    <w:p w:rsidR="00000000" w:rsidRPr="00FE14FE" w:rsidP="00FE14FE">
      <w:pPr>
        <w:pStyle w:val="ListBullet2"/>
      </w:pPr>
      <w:r w:rsidRPr="00FE14FE">
        <w:t>work role boundaries – responsibilities and limitations</w:t>
      </w:r>
    </w:p>
    <w:p w:rsidR="00000000" w:rsidRPr="00FE14FE" w:rsidP="00FE14FE">
      <w:pPr>
        <w:pStyle w:val="ListBullet2"/>
      </w:pPr>
      <w:r w:rsidRPr="00FE14FE">
        <w:t>work health and safety</w:t>
      </w:r>
    </w:p>
    <w:p w:rsidR="00000000" w:rsidRPr="00FE14FE" w:rsidP="00FE14FE">
      <w:pPr>
        <w:pStyle w:val="ListBullet"/>
      </w:pPr>
      <w:r w:rsidRPr="00FE14FE">
        <w:t>requirements of dispensing spectacles to clients with special or complex needs, incl</w:t>
      </w:r>
      <w:r w:rsidRPr="00FE14FE">
        <w:t>uding:</w:t>
      </w:r>
    </w:p>
    <w:p w:rsidR="00000000" w:rsidRPr="00FE14FE" w:rsidP="00FE14FE">
      <w:pPr>
        <w:pStyle w:val="ListBullet2"/>
      </w:pPr>
      <w:r w:rsidRPr="00FE14FE">
        <w:t>low vision, what it is, and how various aids may be used to assist such clients</w:t>
      </w:r>
    </w:p>
    <w:p w:rsidR="00000000" w:rsidRPr="00FE14FE" w:rsidP="00FE14FE">
      <w:pPr>
        <w:pStyle w:val="ListBullet"/>
      </w:pPr>
      <w:r w:rsidRPr="00FE14FE">
        <w:t>types of atypical prescriptions, how to interpret and transpose them, including:</w:t>
      </w:r>
    </w:p>
    <w:p w:rsidR="00000000" w:rsidRPr="00FE14FE" w:rsidP="00FE14FE">
      <w:pPr>
        <w:pStyle w:val="ListBullet2"/>
      </w:pPr>
      <w:r w:rsidRPr="00FE14FE">
        <w:t>anisometropia</w:t>
      </w:r>
    </w:p>
    <w:p w:rsidR="00000000" w:rsidRPr="00FE14FE" w:rsidP="00FE14FE">
      <w:pPr>
        <w:pStyle w:val="ListBullet2"/>
      </w:pPr>
      <w:r w:rsidRPr="00FE14FE">
        <w:t>aphakia</w:t>
      </w:r>
    </w:p>
    <w:p w:rsidR="00000000" w:rsidRPr="00FE14FE" w:rsidP="00FE14FE">
      <w:pPr>
        <w:pStyle w:val="ListBullet2"/>
      </w:pPr>
      <w:r w:rsidRPr="00FE14FE">
        <w:t>high ametropia</w:t>
      </w:r>
    </w:p>
    <w:p w:rsidR="00000000" w:rsidRPr="00FE14FE" w:rsidP="00FE14FE">
      <w:pPr>
        <w:pStyle w:val="ListBullet2"/>
      </w:pPr>
      <w:r w:rsidRPr="00FE14FE">
        <w:t>prism</w:t>
      </w:r>
    </w:p>
    <w:p w:rsidR="00000000" w:rsidRPr="00FE14FE" w:rsidP="00FE14FE">
      <w:pPr>
        <w:pStyle w:val="ListBullet"/>
      </w:pPr>
      <w:r w:rsidRPr="00FE14FE">
        <w:t>features and capabilities of aphakic lenses including:</w:t>
      </w:r>
    </w:p>
    <w:p w:rsidR="00000000" w:rsidRPr="00FE14FE" w:rsidP="00FE14FE">
      <w:pPr>
        <w:pStyle w:val="ListBullet2"/>
      </w:pPr>
      <w:r w:rsidRPr="00FE14FE">
        <w:t>aspheric lens design</w:t>
      </w:r>
    </w:p>
    <w:p w:rsidR="00000000" w:rsidRPr="00FE14FE" w:rsidP="00FE14FE">
      <w:pPr>
        <w:pStyle w:val="ListBullet2"/>
      </w:pPr>
      <w:r w:rsidRPr="00FE14FE">
        <w:t>centering</w:t>
      </w:r>
    </w:p>
    <w:p w:rsidR="00000000" w:rsidRPr="00FE14FE" w:rsidP="00FE14FE">
      <w:pPr>
        <w:pStyle w:val="ListBullet2"/>
      </w:pPr>
      <w:r w:rsidRPr="00FE14FE">
        <w:t>compensating for vertex distance change</w:t>
      </w:r>
    </w:p>
    <w:p w:rsidR="00000000" w:rsidRPr="00FE14FE" w:rsidP="00FE14FE">
      <w:pPr>
        <w:pStyle w:val="ListBullet2"/>
      </w:pPr>
      <w:r w:rsidRPr="00FE14FE">
        <w:t>edging/bevelling profile</w:t>
      </w:r>
    </w:p>
    <w:p w:rsidR="00000000" w:rsidRPr="00FE14FE" w:rsidP="00FE14FE">
      <w:pPr>
        <w:pStyle w:val="ListBullet2"/>
      </w:pPr>
      <w:r w:rsidRPr="00FE14FE">
        <w:t>full field lens design</w:t>
      </w:r>
    </w:p>
    <w:p w:rsidR="00000000" w:rsidRPr="00FE14FE" w:rsidP="00FE14FE">
      <w:pPr>
        <w:pStyle w:val="ListBullet2"/>
      </w:pPr>
      <w:r w:rsidRPr="00FE14FE">
        <w:t>general problems associated with dispensing aphakic lenses including jack-in-the-</w:t>
      </w:r>
      <w:r w:rsidRPr="00FE14FE">
        <w:t>box effect and ring scotoma</w:t>
      </w:r>
    </w:p>
    <w:p w:rsidR="00000000" w:rsidRPr="00FE14FE" w:rsidP="00FE14FE">
      <w:pPr>
        <w:pStyle w:val="ListBullet2"/>
      </w:pPr>
      <w:r w:rsidRPr="00FE14FE">
        <w:t>lenticular designs</w:t>
      </w:r>
    </w:p>
    <w:p w:rsidR="00000000" w:rsidRPr="00FE14FE" w:rsidP="00FE14FE">
      <w:pPr>
        <w:pStyle w:val="ListBullet"/>
      </w:pPr>
      <w:r w:rsidRPr="00FE14FE">
        <w:t>field of view and its impact on atypical dispensing, including:</w:t>
      </w:r>
    </w:p>
    <w:p w:rsidR="00000000" w:rsidRPr="00FE14FE" w:rsidP="00FE14FE">
      <w:pPr>
        <w:pStyle w:val="ListBullet2"/>
      </w:pPr>
      <w:r w:rsidRPr="00FE14FE">
        <w:t>apparent versus real</w:t>
      </w:r>
    </w:p>
    <w:p w:rsidR="00000000" w:rsidRPr="00FE14FE" w:rsidP="00FE14FE">
      <w:pPr>
        <w:pStyle w:val="ListBullet2"/>
      </w:pPr>
      <w:r w:rsidRPr="00FE14FE">
        <w:t>aspheric lenses</w:t>
      </w:r>
    </w:p>
    <w:p w:rsidR="00000000" w:rsidRPr="00FE14FE" w:rsidP="00FE14FE">
      <w:pPr>
        <w:pStyle w:val="ListBullet2"/>
      </w:pPr>
      <w:r w:rsidRPr="00FE14FE">
        <w:t>calculations</w:t>
      </w:r>
    </w:p>
    <w:p w:rsidR="00000000" w:rsidRPr="00FE14FE" w:rsidP="00FE14FE">
      <w:pPr>
        <w:pStyle w:val="ListBullet2"/>
      </w:pPr>
      <w:r w:rsidRPr="00FE14FE">
        <w:t>high minus corrections</w:t>
      </w:r>
    </w:p>
    <w:p w:rsidR="00000000" w:rsidRPr="00FE14FE" w:rsidP="00FE14FE">
      <w:pPr>
        <w:pStyle w:val="ListBullet2"/>
      </w:pPr>
      <w:r w:rsidRPr="00FE14FE">
        <w:t>high plus corrections</w:t>
      </w:r>
    </w:p>
    <w:p w:rsidR="00000000" w:rsidRPr="00FE14FE" w:rsidP="00FE14FE">
      <w:pPr>
        <w:pStyle w:val="ListBullet"/>
      </w:pPr>
      <w:r w:rsidRPr="00FE14FE">
        <w:t>features of high ametropia including:</w:t>
      </w:r>
    </w:p>
    <w:p w:rsidR="00000000" w:rsidRPr="00FE14FE" w:rsidP="00FE14FE">
      <w:pPr>
        <w:pStyle w:val="ListBullet2"/>
      </w:pPr>
      <w:r w:rsidRPr="00FE14FE">
        <w:t>back vertex power (F’v) front vertex power (Fv)</w:t>
      </w:r>
    </w:p>
    <w:p w:rsidR="00000000" w:rsidRPr="00FE14FE" w:rsidP="00FE14FE">
      <w:pPr>
        <w:pStyle w:val="ListBullet2"/>
      </w:pPr>
      <w:r w:rsidRPr="00FE14FE">
        <w:t>compensated surface power</w:t>
      </w:r>
    </w:p>
    <w:p w:rsidR="00000000" w:rsidRPr="00FE14FE" w:rsidP="00FE14FE">
      <w:pPr>
        <w:pStyle w:val="ListBullet2"/>
      </w:pPr>
      <w:r w:rsidRPr="00FE14FE">
        <w:t>corrections</w:t>
      </w:r>
    </w:p>
    <w:p w:rsidR="00000000" w:rsidRPr="00FE14FE" w:rsidP="00FE14FE">
      <w:pPr>
        <w:pStyle w:val="ListBullet2"/>
      </w:pPr>
      <w:r w:rsidRPr="00FE14FE">
        <w:t>prescription requirements and constraints</w:t>
      </w:r>
    </w:p>
    <w:p w:rsidR="00000000" w:rsidRPr="00FE14FE" w:rsidP="00FE14FE">
      <w:pPr>
        <w:pStyle w:val="ListBullet2"/>
      </w:pPr>
      <w:r w:rsidRPr="00FE14FE">
        <w:t>thick lens power</w:t>
      </w:r>
    </w:p>
    <w:p w:rsidR="00000000" w:rsidRPr="00FE14FE" w:rsidP="00FE14FE">
      <w:pPr>
        <w:pStyle w:val="ListBullet2"/>
      </w:pPr>
      <w:r w:rsidRPr="00FE14FE">
        <w:t>types</w:t>
      </w:r>
    </w:p>
    <w:p w:rsidR="00000000" w:rsidRPr="00FE14FE" w:rsidP="00FE14FE">
      <w:pPr>
        <w:pStyle w:val="ListBullet"/>
      </w:pPr>
      <w:r w:rsidRPr="00FE14FE">
        <w:t>high minus lenses and negative lenticulars and how they are used, including:</w:t>
      </w:r>
    </w:p>
    <w:p w:rsidR="00000000" w:rsidRPr="00FE14FE" w:rsidP="00FE14FE">
      <w:pPr>
        <w:pStyle w:val="ListBullet2"/>
      </w:pPr>
      <w:r w:rsidRPr="00FE14FE">
        <w:t>centering</w:t>
      </w:r>
    </w:p>
    <w:p w:rsidR="00000000" w:rsidRPr="00FE14FE" w:rsidP="00FE14FE">
      <w:pPr>
        <w:pStyle w:val="ListBullet2"/>
      </w:pPr>
      <w:r w:rsidRPr="00FE14FE">
        <w:t>compensating for</w:t>
      </w:r>
      <w:r w:rsidRPr="00FE14FE">
        <w:t xml:space="preserve"> vertex distance change</w:t>
      </w:r>
    </w:p>
    <w:p w:rsidR="00000000" w:rsidRPr="00FE14FE" w:rsidP="00FE14FE">
      <w:pPr>
        <w:pStyle w:val="ListBullet2"/>
      </w:pPr>
      <w:r w:rsidRPr="00FE14FE">
        <w:t>dispensing high index materials</w:t>
      </w:r>
    </w:p>
    <w:p w:rsidR="00000000" w:rsidRPr="00FE14FE" w:rsidP="00FE14FE">
      <w:pPr>
        <w:pStyle w:val="ListBullet2"/>
      </w:pPr>
      <w:r w:rsidRPr="00FE14FE">
        <w:t>edging/bevelling profile</w:t>
      </w:r>
    </w:p>
    <w:p w:rsidR="00000000" w:rsidRPr="00FE14FE" w:rsidP="00FE14FE">
      <w:pPr>
        <w:pStyle w:val="ListBullet2"/>
      </w:pPr>
      <w:r w:rsidRPr="00FE14FE">
        <w:t>high index materials</w:t>
      </w:r>
    </w:p>
    <w:p w:rsidR="00000000" w:rsidRPr="00FE14FE" w:rsidP="00FE14FE">
      <w:pPr>
        <w:pStyle w:val="ListBullet2"/>
      </w:pPr>
      <w:r w:rsidRPr="00FE14FE">
        <w:t>lenticular types and designs</w:t>
      </w:r>
    </w:p>
    <w:p w:rsidR="00000000" w:rsidRPr="00FE14FE" w:rsidP="00FE14FE">
      <w:pPr>
        <w:pStyle w:val="ListBullet2"/>
      </w:pPr>
      <w:r w:rsidRPr="00FE14FE">
        <w:t>surface reflections and the need for anti-reflection and multi-coatings</w:t>
      </w:r>
    </w:p>
    <w:p w:rsidR="00000000" w:rsidRPr="00FE14FE" w:rsidP="00FE14FE">
      <w:pPr>
        <w:pStyle w:val="ListBullet"/>
      </w:pPr>
      <w:r w:rsidRPr="00FE14FE">
        <w:t>high prismatic corrections and how they are achieved, including:</w:t>
      </w:r>
    </w:p>
    <w:p w:rsidR="00000000" w:rsidRPr="00FE14FE" w:rsidP="00FE14FE">
      <w:pPr>
        <w:pStyle w:val="ListBullet2"/>
      </w:pPr>
      <w:r w:rsidRPr="00FE14FE">
        <w:t>edging/bevelling profile</w:t>
      </w:r>
    </w:p>
    <w:p w:rsidR="00000000" w:rsidRPr="00FE14FE" w:rsidP="00FE14FE">
      <w:pPr>
        <w:pStyle w:val="ListBullet2"/>
      </w:pPr>
      <w:r w:rsidRPr="00FE14FE">
        <w:t>fresnels and their use</w:t>
      </w:r>
    </w:p>
    <w:p w:rsidR="00000000" w:rsidRPr="00FE14FE" w:rsidP="00FE14FE">
      <w:pPr>
        <w:pStyle w:val="ListBullet2"/>
      </w:pPr>
      <w:r w:rsidRPr="00FE14FE">
        <w:t>high horizontal prism</w:t>
      </w:r>
    </w:p>
    <w:p w:rsidR="00000000" w:rsidRPr="00FE14FE" w:rsidP="00FE14FE">
      <w:pPr>
        <w:pStyle w:val="ListBullet2"/>
      </w:pPr>
      <w:r w:rsidRPr="00FE14FE">
        <w:t>high vertical prism</w:t>
      </w:r>
    </w:p>
    <w:p w:rsidR="00000000" w:rsidRPr="00FE14FE" w:rsidP="00FE14FE">
      <w:pPr>
        <w:pStyle w:val="ListBullet"/>
      </w:pPr>
      <w:r w:rsidRPr="00FE14FE">
        <w:t>ways to respond to aniso and antimetropia including:</w:t>
      </w:r>
    </w:p>
    <w:p w:rsidR="00000000" w:rsidRPr="00FE14FE" w:rsidP="00FE14FE">
      <w:pPr>
        <w:pStyle w:val="ListBullet2"/>
      </w:pPr>
      <w:r w:rsidRPr="00FE14FE">
        <w:t>base curve selection</w:t>
      </w:r>
    </w:p>
    <w:p w:rsidR="00000000" w:rsidRPr="00FE14FE" w:rsidP="00FE14FE">
      <w:pPr>
        <w:pStyle w:val="ListBullet2"/>
      </w:pPr>
      <w:r w:rsidRPr="00FE14FE">
        <w:t>correcting vertical imba</w:t>
      </w:r>
      <w:r w:rsidRPr="00FE14FE">
        <w:t>lance problems</w:t>
      </w:r>
    </w:p>
    <w:p w:rsidR="00000000" w:rsidRPr="00FE14FE" w:rsidP="00FE14FE">
      <w:pPr>
        <w:pStyle w:val="ListBullet2"/>
      </w:pPr>
      <w:r w:rsidRPr="00FE14FE">
        <w:t>effects of lens form (shape)</w:t>
      </w:r>
    </w:p>
    <w:p w:rsidR="00000000" w:rsidRPr="00FE14FE" w:rsidP="00FE14FE">
      <w:pPr>
        <w:pStyle w:val="ListBullet2"/>
      </w:pPr>
      <w:r w:rsidRPr="00FE14FE">
        <w:t>effects of thickness</w:t>
      </w:r>
    </w:p>
    <w:p w:rsidR="00000000" w:rsidRPr="00FE14FE" w:rsidP="00FE14FE">
      <w:pPr>
        <w:pStyle w:val="ListBullet2"/>
      </w:pPr>
      <w:r w:rsidRPr="00FE14FE">
        <w:t>prism differential</w:t>
      </w:r>
    </w:p>
    <w:p w:rsidR="00000000" w:rsidRPr="00FE14FE" w:rsidP="00FE14FE">
      <w:pPr>
        <w:pStyle w:val="ListBullet"/>
      </w:pPr>
      <w:r w:rsidRPr="00FE14FE">
        <w:t>features of spectacle magnification including:</w:t>
      </w:r>
    </w:p>
    <w:p w:rsidR="00000000" w:rsidRPr="00FE14FE" w:rsidP="00FE14FE">
      <w:pPr>
        <w:pStyle w:val="ListBullet2"/>
      </w:pPr>
      <w:r w:rsidRPr="00FE14FE">
        <w:t>effects on visual acuity</w:t>
      </w:r>
    </w:p>
    <w:p w:rsidR="00000000" w:rsidRPr="00FE14FE" w:rsidP="00FE14FE">
      <w:pPr>
        <w:pStyle w:val="ListBullet2"/>
      </w:pPr>
      <w:r w:rsidRPr="00FE14FE">
        <w:t>positive compared to negative lenses</w:t>
      </w:r>
    </w:p>
    <w:p w:rsidR="00000000" w:rsidRPr="00FE14FE" w:rsidP="00FE14FE">
      <w:pPr>
        <w:pStyle w:val="ListBullet2"/>
      </w:pPr>
      <w:r w:rsidRPr="00FE14FE">
        <w:t>retinal image size</w:t>
      </w:r>
    </w:p>
    <w:p w:rsidR="00000000" w:rsidRPr="00FE14FE" w:rsidP="00FE14FE">
      <w:pPr>
        <w:pStyle w:val="AllowPageBreak"/>
      </w:pPr>
    </w:p>
    <w:p w:rsidR="00000000" w:rsidRPr="00FE14FE" w:rsidP="00FE14FE">
      <w:pPr>
        <w:pStyle w:val="Heading1"/>
      </w:pPr>
      <w:bookmarkStart w:id="10" w:name="O_656979"/>
      <w:bookmarkEnd w:id="10"/>
      <w:r w:rsidRPr="00FE14FE">
        <w:t>Assessment Conditions</w:t>
      </w:r>
    </w:p>
    <w:p w:rsidR="00000000" w:rsidRPr="00FE14FE" w:rsidP="00EE4EF7">
      <w:pPr>
        <w:pStyle w:val="BodyText"/>
      </w:pPr>
      <w:r w:rsidRPr="00FE14FE">
        <w:t xml:space="preserve">Skills must have been demonstrated in the workplace or in a simulated environment that reflects workplace conditions. The following conditions must be met for this unit: </w:t>
      </w:r>
    </w:p>
    <w:p w:rsidR="00000000" w:rsidRPr="00FE14FE" w:rsidP="00FE14FE">
      <w:pPr>
        <w:pStyle w:val="ListBullet"/>
      </w:pPr>
      <w:r w:rsidRPr="00FE14FE">
        <w:t xml:space="preserve">use of suitable facilities, equipment and resources, including: </w:t>
      </w:r>
    </w:p>
    <w:p w:rsidR="00000000" w:rsidRPr="00FE14FE" w:rsidP="00FE14FE">
      <w:pPr>
        <w:pStyle w:val="ListBullet2"/>
      </w:pPr>
      <w:r w:rsidRPr="00FE14FE">
        <w:t>vertex distance ca</w:t>
      </w:r>
      <w:r w:rsidRPr="00FE14FE">
        <w:t>lculator (disc or table/chart)</w:t>
      </w:r>
    </w:p>
    <w:p w:rsidR="00000000" w:rsidRPr="00FE14FE" w:rsidP="00FE14FE">
      <w:pPr>
        <w:pStyle w:val="ListBullet2"/>
      </w:pPr>
      <w:r w:rsidRPr="00FE14FE">
        <w:t>vertex distance rule</w:t>
      </w:r>
    </w:p>
    <w:p w:rsidR="00000000" w:rsidRPr="00FE14FE" w:rsidP="00FE14FE">
      <w:pPr>
        <w:pStyle w:val="ListBullet2"/>
      </w:pPr>
      <w:r w:rsidRPr="00FE14FE">
        <w:t>vertex distance calliper (distometer type)</w:t>
      </w:r>
    </w:p>
    <w:p w:rsidR="00000000" w:rsidRPr="00FE14FE" w:rsidP="00FE14FE">
      <w:pPr>
        <w:pStyle w:val="ListBullet2"/>
      </w:pPr>
      <w:r w:rsidRPr="00FE14FE">
        <w:t>lens measure</w:t>
      </w:r>
    </w:p>
    <w:p w:rsidR="00000000" w:rsidRPr="00FE14FE" w:rsidP="00FE14FE">
      <w:pPr>
        <w:pStyle w:val="ListBullet2"/>
      </w:pPr>
      <w:r w:rsidRPr="00FE14FE">
        <w:t>pupillary distance (PD) rule</w:t>
      </w:r>
    </w:p>
    <w:p w:rsidR="00000000" w:rsidRPr="00FE14FE" w:rsidP="00FE14FE">
      <w:pPr>
        <w:pStyle w:val="ListBullet2"/>
      </w:pPr>
      <w:r w:rsidRPr="00FE14FE">
        <w:t>pupillometer</w:t>
      </w:r>
    </w:p>
    <w:p w:rsidR="00000000" w:rsidRPr="00FE14FE" w:rsidP="00FE14FE">
      <w:pPr>
        <w:pStyle w:val="ListBullet2"/>
      </w:pPr>
      <w:r w:rsidRPr="00FE14FE">
        <w:t xml:space="preserve">thickness callipers </w:t>
      </w:r>
    </w:p>
    <w:p w:rsidR="00000000" w:rsidRPr="00FE14FE" w:rsidP="00FE14FE">
      <w:pPr>
        <w:pStyle w:val="ListBullet"/>
      </w:pPr>
      <w:r w:rsidRPr="00FE14FE">
        <w:t>modelling of industry operating conditions, including integration of problem solving activities</w:t>
      </w:r>
    </w:p>
    <w:p w:rsidR="00000000" w:rsidRPr="00FE14FE" w:rsidP="00FE14FE">
      <w:pPr>
        <w:pStyle w:val="BodyText"/>
      </w:pPr>
    </w:p>
    <w:p w:rsidR="00000000" w:rsidRPr="00FE14FE" w:rsidP="00EE4EF7">
      <w:pPr>
        <w:pStyle w:val="BodyText"/>
      </w:pPr>
      <w:r w:rsidRPr="00FE14FE">
        <w:t>Assessors must satisfy the Standards for Registered Training Organisations (RTOs) 2015/AQTF mandatory competency requirements for assessors.</w:t>
      </w:r>
    </w:p>
    <w:p w:rsidR="00000000" w:rsidRPr="00FE14FE" w:rsidP="00FE14FE">
      <w:pPr>
        <w:pStyle w:val="Heading1"/>
      </w:pPr>
      <w:bookmarkStart w:id="11" w:name="O_656982"/>
      <w:bookmarkEnd w:id="11"/>
      <w:r w:rsidRPr="00FE14FE">
        <w:t>L</w:t>
      </w:r>
      <w:r w:rsidRPr="00FE14FE">
        <w:t>inks</w:t>
      </w:r>
    </w:p>
    <w:p w:rsidR="00000000" w:rsidRPr="00FE14FE" w:rsidP="00EE4EF7">
      <w:pPr>
        <w:pStyle w:val="BodyText"/>
      </w:pPr>
      <w:r w:rsidRPr="00FE14F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4764E">
        <w:rPr>
          <w:rStyle w:val="Hyperlink"/>
        </w:rPr>
        <w:t>https://vetnet.gov.au/Pages/TrainingDocs.aspx?q=ced1390f-48d9-4ab0-bd50-b015e5485705</w:t>
      </w:r>
      <w:r>
        <w:fldChar w:fldCharType="end"/>
      </w:r>
    </w:p>
    <w:p w:rsidR="00000000" w:rsidRPr="00FE14FE" w:rsidP="00FE14FE"/>
    <w:sectPr w:rsidSect="00FE14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FE" w:rsidRPr="00EE4EF7" w:rsidP="00EE4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F7" w:rsidP="00FE1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4EF7" w:rsidP="00FE14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E4EF7" w:rsidP="00FE14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FE" w:rsidP="00FE14FE">
    <w:pPr>
      <w:pStyle w:val="Footer"/>
      <w:framePr w:wrap="around"/>
    </w:pPr>
    <w:r>
      <w:fldChar w:fldCharType="begin"/>
    </w:r>
    <w:r>
      <w:instrText xml:space="preserve"> DOCPROPERTY  Subject  \* MERGEFORMAT </w:instrText>
    </w:r>
    <w:r>
      <w:fldChar w:fldCharType="separate"/>
    </w:r>
    <w:r w:rsidR="00EE4EF7">
      <w:t>Approved</w:t>
    </w:r>
    <w:r w:rsidR="00EE4EF7">
      <w:fldChar w:fldCharType="end"/>
    </w:r>
    <w:r>
      <w:tab/>
      <w:t xml:space="preserve">Page </w:t>
    </w:r>
    <w:r>
      <w:fldChar w:fldCharType="begin"/>
    </w:r>
    <w:r>
      <w:instrText xml:space="preserve"> PAGE  \* Arabic  \* MERGEFORMAT </w:instrText>
    </w:r>
    <w:r>
      <w:fldChar w:fldCharType="separate"/>
    </w:r>
    <w:r w:rsidR="00EE4E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4EF7">
      <w:rPr>
        <w:noProof/>
      </w:rPr>
      <w:t>5</w:t>
    </w:r>
    <w:r>
      <w:rPr>
        <w:noProof/>
      </w:rPr>
      <w:fldChar w:fldCharType="end"/>
    </w:r>
  </w:p>
  <w:p w:rsidR="00FE14FE" w:rsidP="00FE14FE">
    <w:pPr>
      <w:pStyle w:val="Footer"/>
      <w:framePr w:wrap="around"/>
    </w:pPr>
    <w:r>
      <w:t xml:space="preserve">© Commonwealth of Australia, </w:t>
    </w:r>
    <w:r>
      <w:fldChar w:fldCharType="begin"/>
    </w:r>
    <w:r>
      <w:instrText xml:space="preserve"> DATE  \@ "yyyy"  \* MERGEFORMAT </w:instrText>
    </w:r>
    <w:r>
      <w:fldChar w:fldCharType="separate"/>
    </w:r>
    <w:r w:rsidR="00EE4EF7">
      <w:rPr>
        <w:noProof/>
      </w:rPr>
      <w:t>2025</w:t>
    </w:r>
    <w:r>
      <w:fldChar w:fldCharType="end"/>
    </w:r>
    <w:r>
      <w:tab/>
    </w:r>
    <w:r>
      <w:fldChar w:fldCharType="begin"/>
    </w:r>
    <w:r>
      <w:instrText xml:space="preserve"> DOCPROPERTY  Author  \* MERGEFORMAT </w:instrText>
    </w:r>
    <w:r>
      <w:fldChar w:fldCharType="separate"/>
    </w:r>
    <w:r w:rsidR="00EE4EF7">
      <w:t>HumanAbility</w:t>
    </w:r>
    <w:r w:rsidR="00EE4EF7">
      <w:fldChar w:fldCharType="end"/>
    </w:r>
  </w:p>
  <w:p w:rsidR="00FE14FE" w:rsidP="00FE14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4FE" w:rsidRPr="00EE4EF7" w:rsidP="00EE4E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F7" w:rsidRPr="002D2AF8" w:rsidP="00FE14FE">
    <w:pPr>
      <w:pStyle w:val="Header"/>
      <w:framePr w:wrap="around"/>
    </w:pPr>
    <w:r>
      <w:fldChar w:fldCharType="begin"/>
    </w:r>
    <w:r>
      <w:instrText xml:space="preserve"> TITLE   \* MERGEFORMAT </w:instrText>
    </w:r>
    <w:r>
      <w:fldChar w:fldCharType="separate"/>
    </w:r>
    <w:r>
      <w:t>HLTOPD003 Dispense atypical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4EF7" w:rsidP="00FE14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FE" w:rsidRPr="002D2AF8" w:rsidP="00FE14FE">
    <w:pPr>
      <w:pStyle w:val="Header"/>
      <w:framePr w:wrap="around"/>
    </w:pPr>
    <w:r>
      <w:fldChar w:fldCharType="begin"/>
    </w:r>
    <w:r>
      <w:instrText xml:space="preserve"> TITLE   \* MERGEFORMAT </w:instrText>
    </w:r>
    <w:r>
      <w:fldChar w:fldCharType="separate"/>
    </w:r>
    <w:r w:rsidR="00EE4EF7">
      <w:t>HLTOPD003 Dispense atypical prescriptions</w:t>
    </w:r>
    <w:r w:rsidR="00EE4EF7">
      <w:fldChar w:fldCharType="end"/>
    </w:r>
    <w:r>
      <w:tab/>
      <w:t xml:space="preserve">Date this document was generated: </w:t>
    </w:r>
    <w:r>
      <w:fldChar w:fldCharType="begin"/>
    </w:r>
    <w:r>
      <w:instrText xml:space="preserve"> CREATEDATE  \@ "d MMMM yyyy"  \* MERGEFORMAT </w:instrText>
    </w:r>
    <w:r>
      <w:fldChar w:fldCharType="separate"/>
    </w:r>
    <w:r w:rsidR="00EE4EF7">
      <w:rPr>
        <w:noProof/>
      </w:rPr>
      <w:t>1 March 2025</w:t>
    </w:r>
    <w:r>
      <w:fldChar w:fldCharType="end"/>
    </w:r>
  </w:p>
  <w:p w:rsidR="00FE14FE" w:rsidP="00FE1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AC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4D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09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4FE"/>
    <w:pPr>
      <w:spacing w:before="360" w:after="60"/>
      <w:outlineLvl w:val="0"/>
    </w:pPr>
    <w:rPr>
      <w:sz w:val="32"/>
    </w:rPr>
  </w:style>
  <w:style w:type="paragraph" w:styleId="Heading2">
    <w:name w:val="heading 2"/>
    <w:basedOn w:val="HeadingBase"/>
    <w:next w:val="BodyText"/>
    <w:link w:val="Heading2Char"/>
    <w:qFormat/>
    <w:rsid w:val="00FE14FE"/>
    <w:pPr>
      <w:keepLines/>
      <w:spacing w:before="240" w:after="120"/>
      <w:outlineLvl w:val="1"/>
    </w:pPr>
    <w:rPr>
      <w:sz w:val="28"/>
      <w:szCs w:val="40"/>
    </w:rPr>
  </w:style>
  <w:style w:type="paragraph" w:styleId="Heading3">
    <w:name w:val="heading 3"/>
    <w:basedOn w:val="HeadingBase"/>
    <w:next w:val="BodyText"/>
    <w:link w:val="Heading3Char"/>
    <w:qFormat/>
    <w:rsid w:val="00FE14FE"/>
    <w:pPr>
      <w:spacing w:before="180" w:after="120"/>
      <w:outlineLvl w:val="2"/>
    </w:pPr>
    <w:rPr>
      <w:spacing w:val="-10"/>
      <w:kern w:val="32"/>
    </w:rPr>
  </w:style>
  <w:style w:type="paragraph" w:styleId="Heading4">
    <w:name w:val="heading 4"/>
    <w:basedOn w:val="HeadingBase"/>
    <w:next w:val="BodyText"/>
    <w:link w:val="Heading4Char"/>
    <w:qFormat/>
    <w:rsid w:val="00FE14FE"/>
    <w:pPr>
      <w:spacing w:before="160" w:after="120"/>
      <w:outlineLvl w:val="3"/>
    </w:pPr>
    <w:rPr>
      <w:sz w:val="22"/>
    </w:rPr>
  </w:style>
  <w:style w:type="paragraph" w:styleId="Heading5">
    <w:name w:val="heading 5"/>
    <w:basedOn w:val="HeadingBase"/>
    <w:next w:val="Normal"/>
    <w:link w:val="Heading5Char"/>
    <w:qFormat/>
    <w:rsid w:val="00FE14FE"/>
    <w:pPr>
      <w:spacing w:before="80"/>
      <w:outlineLvl w:val="4"/>
    </w:pPr>
    <w:rPr>
      <w:color w:val="918585"/>
      <w:sz w:val="20"/>
    </w:rPr>
  </w:style>
  <w:style w:type="paragraph" w:styleId="Heading6">
    <w:name w:val="heading 6"/>
    <w:basedOn w:val="HeadingBase"/>
    <w:next w:val="Normal"/>
    <w:link w:val="Heading6Char"/>
    <w:qFormat/>
    <w:rsid w:val="00FE14FE"/>
    <w:pPr>
      <w:spacing w:before="60"/>
      <w:outlineLvl w:val="5"/>
    </w:pPr>
    <w:rPr>
      <w:color w:val="918585"/>
      <w:sz w:val="20"/>
    </w:rPr>
  </w:style>
  <w:style w:type="paragraph" w:styleId="Heading7">
    <w:name w:val="heading 7"/>
    <w:basedOn w:val="Normal"/>
    <w:next w:val="Normal"/>
    <w:link w:val="Heading7Char"/>
    <w:qFormat/>
    <w:rsid w:val="00FE14FE"/>
    <w:pPr>
      <w:ind w:left="720"/>
      <w:outlineLvl w:val="6"/>
    </w:pPr>
    <w:rPr>
      <w:i/>
    </w:rPr>
  </w:style>
  <w:style w:type="paragraph" w:styleId="Heading8">
    <w:name w:val="heading 8"/>
    <w:basedOn w:val="Normal"/>
    <w:next w:val="Normal"/>
    <w:link w:val="Heading8Char"/>
    <w:qFormat/>
    <w:rsid w:val="00FE14FE"/>
    <w:pPr>
      <w:ind w:left="720"/>
      <w:outlineLvl w:val="7"/>
    </w:pPr>
    <w:rPr>
      <w:i/>
    </w:rPr>
  </w:style>
  <w:style w:type="paragraph" w:styleId="Heading9">
    <w:name w:val="heading 9"/>
    <w:basedOn w:val="Normal"/>
    <w:next w:val="Normal"/>
    <w:link w:val="Heading9Char"/>
    <w:qFormat/>
    <w:rsid w:val="00FE14FE"/>
    <w:pPr>
      <w:ind w:left="720"/>
      <w:outlineLvl w:val="8"/>
    </w:pPr>
    <w:rPr>
      <w:i/>
    </w:rPr>
  </w:style>
  <w:style w:type="character" w:default="1" w:styleId="DefaultParagraphFont">
    <w:name w:val="Default Paragraph Font"/>
    <w:uiPriority w:val="1"/>
    <w:unhideWhenUsed/>
    <w:rsid w:val="00FE1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4FE"/>
  </w:style>
  <w:style w:type="character" w:customStyle="1" w:styleId="Heading1Char">
    <w:name w:val="Heading 1 Char"/>
    <w:basedOn w:val="DefaultParagraphFont"/>
    <w:link w:val="Heading1"/>
    <w:rsid w:val="00FE14FE"/>
    <w:rPr>
      <w:rFonts w:ascii="Times New Roman" w:eastAsia="Times New Roman" w:hAnsi="Times New Roman" w:cs="Times New Roman"/>
      <w:b/>
      <w:sz w:val="32"/>
      <w:szCs w:val="20"/>
      <w:lang w:eastAsia="en-US"/>
    </w:rPr>
  </w:style>
  <w:style w:type="paragraph" w:styleId="BodyText">
    <w:name w:val="Body Text"/>
    <w:basedOn w:val="Normal"/>
    <w:link w:val="BodyTextChar"/>
    <w:rsid w:val="00FE14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4FE"/>
    <w:rPr>
      <w:rFonts w:ascii="Times New Roman" w:eastAsia="Times New Roman" w:hAnsi="Times New Roman" w:cs="Times New Roman"/>
      <w:sz w:val="24"/>
      <w:lang w:eastAsia="en-US"/>
    </w:rPr>
  </w:style>
  <w:style w:type="paragraph" w:styleId="ListBullet">
    <w:name w:val="List Bullet"/>
    <w:basedOn w:val="List"/>
    <w:rsid w:val="00FE14FE"/>
    <w:pPr>
      <w:numPr>
        <w:numId w:val="12"/>
      </w:numPr>
      <w:tabs>
        <w:tab w:val="clear" w:pos="340"/>
      </w:tabs>
      <w:spacing w:before="40" w:after="40"/>
    </w:pPr>
  </w:style>
  <w:style w:type="character" w:customStyle="1" w:styleId="SpecialBold">
    <w:name w:val="Special Bold"/>
    <w:basedOn w:val="DefaultParagraphFont"/>
    <w:rsid w:val="00FE14FE"/>
    <w:rPr>
      <w:b/>
      <w:spacing w:val="0"/>
    </w:rPr>
  </w:style>
  <w:style w:type="paragraph" w:styleId="ListBullet2">
    <w:name w:val="List Bullet 2"/>
    <w:basedOn w:val="List2"/>
    <w:rsid w:val="00FE14FE"/>
    <w:pPr>
      <w:numPr>
        <w:numId w:val="13"/>
      </w:numPr>
      <w:tabs>
        <w:tab w:val="clear" w:pos="680"/>
      </w:tabs>
    </w:pPr>
  </w:style>
  <w:style w:type="character" w:styleId="Emphasis">
    <w:name w:val="Emphasis"/>
    <w:basedOn w:val="DefaultParagraphFont"/>
    <w:qFormat/>
    <w:rsid w:val="00FE14FE"/>
    <w:rPr>
      <w:i/>
    </w:rPr>
  </w:style>
  <w:style w:type="paragraph" w:customStyle="1" w:styleId="SuperHeading">
    <w:name w:val="SuperHeading"/>
    <w:basedOn w:val="Normal"/>
    <w:rsid w:val="00FE14FE"/>
    <w:pPr>
      <w:spacing w:before="240" w:after="120"/>
      <w:outlineLvl w:val="0"/>
    </w:pPr>
    <w:rPr>
      <w:rFonts w:ascii="Times New Roman" w:hAnsi="Times New Roman"/>
      <w:b/>
      <w:sz w:val="32"/>
    </w:rPr>
  </w:style>
  <w:style w:type="paragraph" w:customStyle="1" w:styleId="AllowPageBreak">
    <w:name w:val="AllowPageBreak"/>
    <w:rsid w:val="00FE1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4FE"/>
    <w:rPr>
      <w:rFonts w:ascii="Courier New" w:eastAsia="Times New Roman" w:hAnsi="Courier New" w:cs="Times New Roman"/>
      <w:i/>
      <w:szCs w:val="20"/>
      <w:lang w:eastAsia="en-US"/>
    </w:rPr>
  </w:style>
  <w:style w:type="paragraph" w:customStyle="1" w:styleId="HeadingBase">
    <w:name w:val="Heading Base"/>
    <w:rsid w:val="00FE1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4FE"/>
    <w:pPr>
      <w:tabs>
        <w:tab w:val="right" w:leader="dot" w:pos="9072"/>
      </w:tabs>
      <w:ind w:left="567"/>
    </w:pPr>
    <w:rPr>
      <w:szCs w:val="22"/>
    </w:rPr>
  </w:style>
  <w:style w:type="paragraph" w:customStyle="1" w:styleId="TOCBase">
    <w:name w:val="TOC Base"/>
    <w:rsid w:val="00FE1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4FE"/>
    <w:pPr>
      <w:tabs>
        <w:tab w:val="right" w:leader="dot" w:pos="9072"/>
      </w:tabs>
      <w:spacing w:before="40" w:after="40"/>
      <w:ind w:left="284"/>
    </w:pPr>
    <w:rPr>
      <w:rFonts w:ascii="Times New Roman" w:hAnsi="Times New Roman"/>
    </w:rPr>
  </w:style>
  <w:style w:type="paragraph" w:styleId="TOC1">
    <w:name w:val="toc 1"/>
    <w:basedOn w:val="TOCBase"/>
    <w:next w:val="Normal"/>
    <w:rsid w:val="00FE14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4FE"/>
    <w:rPr>
      <w:rFonts w:ascii="Times New Roman" w:eastAsia="Times New Roman" w:hAnsi="Times New Roman" w:cs="Times New Roman"/>
      <w:sz w:val="16"/>
      <w:lang w:eastAsia="en-US"/>
    </w:rPr>
  </w:style>
  <w:style w:type="paragraph" w:styleId="Title">
    <w:name w:val="Title"/>
    <w:basedOn w:val="HeadingBase"/>
    <w:link w:val="TitleChar"/>
    <w:qFormat/>
    <w:rsid w:val="00FE14FE"/>
    <w:pPr>
      <w:spacing w:before="5040"/>
      <w:jc w:val="center"/>
    </w:pPr>
    <w:rPr>
      <w:sz w:val="48"/>
      <w:szCs w:val="72"/>
      <w:lang w:val="en-US"/>
    </w:rPr>
  </w:style>
  <w:style w:type="character" w:customStyle="1" w:styleId="TitleChar">
    <w:name w:val="Title Char"/>
    <w:basedOn w:val="DefaultParagraphFont"/>
    <w:link w:val="Title"/>
    <w:rsid w:val="00FE1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4FE"/>
    <w:pPr>
      <w:tabs>
        <w:tab w:val="left" w:pos="3600"/>
        <w:tab w:val="left" w:pos="3958"/>
      </w:tabs>
    </w:pPr>
  </w:style>
  <w:style w:type="paragraph" w:styleId="List">
    <w:name w:val="List"/>
    <w:basedOn w:val="BodyText"/>
    <w:next w:val="BodyText"/>
    <w:rsid w:val="00FE14FE"/>
    <w:pPr>
      <w:tabs>
        <w:tab w:val="left" w:pos="340"/>
      </w:tabs>
      <w:spacing w:before="60" w:after="60"/>
      <w:ind w:left="340" w:hanging="340"/>
    </w:pPr>
  </w:style>
  <w:style w:type="paragraph" w:customStyle="1" w:styleId="Note">
    <w:name w:val="Note"/>
    <w:basedOn w:val="BodyText"/>
    <w:rsid w:val="00FE1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4FE"/>
    <w:pPr>
      <w:framePr w:wrap="auto" w:hAnchor="text" w:y="6049"/>
    </w:pPr>
    <w:rPr>
      <w:color w:val="000000"/>
      <w:sz w:val="40"/>
    </w:rPr>
  </w:style>
  <w:style w:type="paragraph" w:customStyle="1" w:styleId="TOCTitle">
    <w:name w:val="TOCTitle"/>
    <w:basedOn w:val="Heading1"/>
    <w:rsid w:val="00FE14FE"/>
    <w:pPr>
      <w:spacing w:after="240"/>
      <w:jc w:val="center"/>
      <w:outlineLvl w:val="9"/>
    </w:pPr>
    <w:rPr>
      <w:caps/>
    </w:rPr>
  </w:style>
  <w:style w:type="paragraph" w:customStyle="1" w:styleId="Version">
    <w:name w:val="Version"/>
    <w:rsid w:val="00FE1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4FE"/>
    <w:pPr>
      <w:keepNext w:val="0"/>
      <w:tabs>
        <w:tab w:val="right" w:pos="4176"/>
      </w:tabs>
      <w:ind w:left="198" w:hanging="198"/>
    </w:pPr>
    <w:rPr>
      <w:rFonts w:ascii="Garamond" w:hAnsi="Garamond"/>
    </w:rPr>
  </w:style>
  <w:style w:type="paragraph" w:styleId="IndexHeading">
    <w:name w:val="index heading"/>
    <w:basedOn w:val="Normal"/>
    <w:next w:val="Index1"/>
    <w:semiHidden/>
    <w:rsid w:val="00FE14FE"/>
    <w:pPr>
      <w:spacing w:before="120" w:after="120"/>
    </w:pPr>
    <w:rPr>
      <w:rFonts w:ascii="Arial" w:hAnsi="Arial"/>
      <w:b/>
      <w:color w:val="918585"/>
      <w:sz w:val="24"/>
    </w:rPr>
  </w:style>
  <w:style w:type="paragraph" w:styleId="Header">
    <w:name w:val="header"/>
    <w:basedOn w:val="Normal"/>
    <w:link w:val="HeaderChar"/>
    <w:rsid w:val="00FE1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4FE"/>
    <w:rPr>
      <w:rFonts w:ascii="Times New Roman" w:eastAsia="Times New Roman" w:hAnsi="Times New Roman" w:cs="Times New Roman"/>
      <w:sz w:val="16"/>
      <w:szCs w:val="20"/>
      <w:lang w:val="en-GB" w:eastAsia="en-US"/>
    </w:rPr>
  </w:style>
  <w:style w:type="paragraph" w:customStyle="1" w:styleId="Chapter">
    <w:name w:val="Chapter"/>
    <w:basedOn w:val="Normal"/>
    <w:rsid w:val="00FE14FE"/>
    <w:pPr>
      <w:spacing w:before="240"/>
    </w:pPr>
    <w:rPr>
      <w:rFonts w:ascii="Times New Roman" w:hAnsi="Times New Roman"/>
      <w:smallCaps/>
      <w:spacing w:val="80"/>
      <w:sz w:val="28"/>
    </w:rPr>
  </w:style>
  <w:style w:type="paragraph" w:customStyle="1" w:styleId="InChapter">
    <w:name w:val="InChapter"/>
    <w:basedOn w:val="Heading3"/>
    <w:rsid w:val="00FE14FE"/>
    <w:pPr>
      <w:spacing w:after="240"/>
      <w:outlineLvl w:val="9"/>
    </w:pPr>
    <w:rPr>
      <w:noProof/>
    </w:rPr>
  </w:style>
  <w:style w:type="paragraph" w:styleId="Index2">
    <w:name w:val="index 2"/>
    <w:basedOn w:val="Normal"/>
    <w:next w:val="Normal"/>
    <w:semiHidden/>
    <w:rsid w:val="00FE14FE"/>
    <w:pPr>
      <w:tabs>
        <w:tab w:val="right" w:pos="4176"/>
      </w:tabs>
      <w:ind w:left="568" w:hanging="284"/>
    </w:pPr>
    <w:rPr>
      <w:rFonts w:ascii="Garamond" w:hAnsi="Garamond"/>
    </w:rPr>
  </w:style>
  <w:style w:type="paragraph" w:customStyle="1" w:styleId="Byline">
    <w:name w:val="Byline"/>
    <w:rsid w:val="00FE1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4FE"/>
    <w:pPr>
      <w:tabs>
        <w:tab w:val="clear" w:pos="3600"/>
        <w:tab w:val="clear" w:pos="3958"/>
      </w:tabs>
      <w:jc w:val="right"/>
    </w:pPr>
  </w:style>
  <w:style w:type="paragraph" w:styleId="Caption">
    <w:name w:val="caption"/>
    <w:basedOn w:val="BodyText"/>
    <w:next w:val="Normal"/>
    <w:qFormat/>
    <w:rsid w:val="00FE14FE"/>
    <w:pPr>
      <w:framePr w:w="2268" w:hSpace="181" w:vSpace="181" w:wrap="around" w:vAnchor="text" w:hAnchor="page" w:x="1135" w:y="285" w:anchorLock="1"/>
    </w:pPr>
    <w:rPr>
      <w:i/>
    </w:rPr>
  </w:style>
  <w:style w:type="paragraph" w:customStyle="1" w:styleId="MiniTOCTitle">
    <w:name w:val="MiniTOCTitle"/>
    <w:basedOn w:val="Heading4"/>
    <w:rsid w:val="00FE14FE"/>
    <w:pPr>
      <w:spacing w:before="240"/>
      <w:outlineLvl w:val="9"/>
    </w:pPr>
    <w:rPr>
      <w:noProof/>
      <w:sz w:val="24"/>
    </w:rPr>
  </w:style>
  <w:style w:type="paragraph" w:customStyle="1" w:styleId="MiniTOCItem">
    <w:name w:val="MiniTOCItem"/>
    <w:basedOn w:val="ListBullet"/>
    <w:rsid w:val="00FE14FE"/>
    <w:pPr>
      <w:numPr>
        <w:numId w:val="0"/>
      </w:numPr>
      <w:tabs>
        <w:tab w:val="right" w:leader="dot" w:pos="6521"/>
      </w:tabs>
      <w:spacing w:before="0" w:after="0"/>
    </w:pPr>
  </w:style>
  <w:style w:type="paragraph" w:customStyle="1" w:styleId="TOFTitle">
    <w:name w:val="TOFTitle"/>
    <w:basedOn w:val="TOCTitle"/>
    <w:rsid w:val="00FE14FE"/>
  </w:style>
  <w:style w:type="paragraph" w:styleId="TableofFigures">
    <w:name w:val="table of figures"/>
    <w:basedOn w:val="Normal"/>
    <w:next w:val="Normal"/>
    <w:semiHidden/>
    <w:rsid w:val="00FE14FE"/>
    <w:pPr>
      <w:tabs>
        <w:tab w:val="right" w:leader="dot" w:pos="9072"/>
      </w:tabs>
      <w:ind w:left="970" w:hanging="403"/>
    </w:pPr>
    <w:rPr>
      <w:rFonts w:ascii="Times New Roman" w:hAnsi="Times New Roman"/>
      <w:b/>
    </w:rPr>
  </w:style>
  <w:style w:type="paragraph" w:styleId="ListNumber">
    <w:name w:val="List Number"/>
    <w:basedOn w:val="List"/>
    <w:rsid w:val="00FE14FE"/>
    <w:pPr>
      <w:numPr>
        <w:numId w:val="15"/>
      </w:numPr>
      <w:tabs>
        <w:tab w:val="clear" w:pos="340"/>
      </w:tabs>
    </w:pPr>
  </w:style>
  <w:style w:type="character" w:customStyle="1" w:styleId="WingdingSymbols">
    <w:name w:val="Wingding Symbols"/>
    <w:rsid w:val="00FE14FE"/>
    <w:rPr>
      <w:rFonts w:ascii="Wingdings" w:hAnsi="Wingdings"/>
    </w:rPr>
  </w:style>
  <w:style w:type="paragraph" w:customStyle="1" w:styleId="TableHeading">
    <w:name w:val="Table Heading"/>
    <w:basedOn w:val="HeadingBase"/>
    <w:rsid w:val="00FE14FE"/>
    <w:pPr>
      <w:keepLines/>
      <w:pBdr>
        <w:bottom w:val="single" w:sz="6" w:space="1" w:color="918585"/>
      </w:pBdr>
      <w:spacing w:before="240"/>
    </w:pPr>
  </w:style>
  <w:style w:type="character" w:customStyle="1" w:styleId="HotSpot">
    <w:name w:val="HotSpot"/>
    <w:rsid w:val="00FE14FE"/>
    <w:rPr>
      <w:color w:val="0033CC"/>
      <w:u w:val="none"/>
    </w:rPr>
  </w:style>
  <w:style w:type="paragraph" w:customStyle="1" w:styleId="BodyTextRight">
    <w:name w:val="Body Text Right"/>
    <w:basedOn w:val="BodyText"/>
    <w:rsid w:val="00FE14FE"/>
    <w:pPr>
      <w:spacing w:before="0" w:after="0"/>
      <w:jc w:val="right"/>
    </w:pPr>
  </w:style>
  <w:style w:type="paragraph" w:styleId="Index3">
    <w:name w:val="index 3"/>
    <w:basedOn w:val="ListNumber2"/>
    <w:next w:val="Normal"/>
    <w:semiHidden/>
    <w:rsid w:val="00FE14FE"/>
    <w:pPr>
      <w:numPr>
        <w:numId w:val="0"/>
      </w:numPr>
      <w:tabs>
        <w:tab w:val="right" w:leader="dot" w:pos="4176"/>
      </w:tabs>
    </w:pPr>
  </w:style>
  <w:style w:type="paragraph" w:styleId="ListNumber2">
    <w:name w:val="List Number 2"/>
    <w:basedOn w:val="List2"/>
    <w:rsid w:val="00FE14FE"/>
    <w:pPr>
      <w:numPr>
        <w:numId w:val="10"/>
      </w:numPr>
      <w:tabs>
        <w:tab w:val="clear" w:pos="1060"/>
      </w:tabs>
    </w:pPr>
  </w:style>
  <w:style w:type="paragraph" w:customStyle="1" w:styleId="MarginNote">
    <w:name w:val="Margin Note"/>
    <w:basedOn w:val="BodyText"/>
    <w:rsid w:val="00FE1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4FE"/>
    <w:rPr>
      <w:sz w:val="32"/>
    </w:rPr>
  </w:style>
  <w:style w:type="paragraph" w:customStyle="1" w:styleId="HeadingProcedure">
    <w:name w:val="Heading Procedure"/>
    <w:basedOn w:val="HeadingBase"/>
    <w:next w:val="Normal"/>
    <w:rsid w:val="00FE14FE"/>
    <w:pPr>
      <w:tabs>
        <w:tab w:val="left" w:pos="0"/>
      </w:tabs>
      <w:spacing w:before="120" w:after="60"/>
    </w:pPr>
    <w:rPr>
      <w:i/>
      <w:color w:val="918585"/>
      <w:sz w:val="22"/>
    </w:rPr>
  </w:style>
  <w:style w:type="paragraph" w:customStyle="1" w:styleId="TableBodyText">
    <w:name w:val="Table Body Text"/>
    <w:basedOn w:val="BodyText"/>
    <w:rsid w:val="00FE14FE"/>
    <w:pPr>
      <w:spacing w:before="60" w:after="60"/>
    </w:pPr>
  </w:style>
  <w:style w:type="paragraph" w:styleId="ListContinue">
    <w:name w:val="List Continue"/>
    <w:basedOn w:val="List"/>
    <w:rsid w:val="00FE14FE"/>
    <w:pPr>
      <w:ind w:firstLine="0"/>
    </w:pPr>
  </w:style>
  <w:style w:type="paragraph" w:customStyle="1" w:styleId="ListNote">
    <w:name w:val="List Note"/>
    <w:basedOn w:val="List"/>
    <w:rsid w:val="00FE14FE"/>
    <w:pPr>
      <w:pBdr>
        <w:top w:val="single" w:sz="6" w:space="2" w:color="918585"/>
        <w:bottom w:val="single" w:sz="6" w:space="2" w:color="918585"/>
      </w:pBdr>
      <w:tabs>
        <w:tab w:val="left" w:pos="1021"/>
      </w:tabs>
      <w:ind w:firstLine="0"/>
    </w:pPr>
  </w:style>
  <w:style w:type="paragraph" w:customStyle="1" w:styleId="Warning">
    <w:name w:val="Warning"/>
    <w:basedOn w:val="BodyText"/>
    <w:rsid w:val="00FE14FE"/>
    <w:pPr>
      <w:shd w:val="clear" w:color="auto" w:fill="D9D9D9"/>
      <w:tabs>
        <w:tab w:val="left" w:pos="992"/>
      </w:tabs>
      <w:ind w:left="119" w:right="119"/>
    </w:pPr>
    <w:rPr>
      <w:sz w:val="20"/>
    </w:rPr>
  </w:style>
  <w:style w:type="paragraph" w:customStyle="1" w:styleId="MarginIcons">
    <w:name w:val="Margin Icons"/>
    <w:basedOn w:val="BodyText"/>
    <w:rsid w:val="00FE1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4FE"/>
    <w:rPr>
      <w:rFonts w:ascii="Courier New" w:hAnsi="Courier New"/>
    </w:rPr>
  </w:style>
  <w:style w:type="paragraph" w:customStyle="1" w:styleId="NoteBullet">
    <w:name w:val="Note Bullet"/>
    <w:basedOn w:val="Note"/>
    <w:rsid w:val="00FE14FE"/>
    <w:pPr>
      <w:tabs>
        <w:tab w:val="clear" w:pos="680"/>
      </w:tabs>
      <w:spacing w:before="60" w:after="60"/>
    </w:pPr>
  </w:style>
  <w:style w:type="paragraph" w:customStyle="1" w:styleId="SubHeading2">
    <w:name w:val="SubHeading2"/>
    <w:basedOn w:val="HeadingBase"/>
    <w:rsid w:val="00FE14FE"/>
    <w:pPr>
      <w:spacing w:before="240" w:after="60"/>
    </w:pPr>
    <w:rPr>
      <w:sz w:val="20"/>
    </w:rPr>
  </w:style>
  <w:style w:type="paragraph" w:customStyle="1" w:styleId="SubHeading1">
    <w:name w:val="SubHeading1"/>
    <w:basedOn w:val="HeadingBase"/>
    <w:rsid w:val="00FE14FE"/>
    <w:pPr>
      <w:spacing w:before="240" w:after="60"/>
    </w:pPr>
    <w:rPr>
      <w:color w:val="918585"/>
      <w:sz w:val="22"/>
    </w:rPr>
  </w:style>
  <w:style w:type="paragraph" w:customStyle="1" w:styleId="SideHeading">
    <w:name w:val="Side Heading"/>
    <w:basedOn w:val="HeadingBase"/>
    <w:rsid w:val="00FE1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4FE"/>
    <w:pPr>
      <w:tabs>
        <w:tab w:val="num" w:pos="360"/>
      </w:tabs>
    </w:pPr>
  </w:style>
  <w:style w:type="paragraph" w:styleId="PlainText">
    <w:name w:val="Plain Text"/>
    <w:basedOn w:val="Normal"/>
    <w:link w:val="PlainTextChar"/>
    <w:rsid w:val="00FE14FE"/>
    <w:rPr>
      <w:sz w:val="20"/>
    </w:rPr>
  </w:style>
  <w:style w:type="character" w:customStyle="1" w:styleId="PlainTextChar">
    <w:name w:val="Plain Text Char"/>
    <w:basedOn w:val="DefaultParagraphFont"/>
    <w:link w:val="PlainText"/>
    <w:rsid w:val="00FE14FE"/>
    <w:rPr>
      <w:rFonts w:ascii="Courier New" w:eastAsia="Times New Roman" w:hAnsi="Courier New" w:cs="Times New Roman"/>
      <w:sz w:val="20"/>
      <w:szCs w:val="20"/>
      <w:lang w:eastAsia="en-US"/>
    </w:rPr>
  </w:style>
  <w:style w:type="character" w:customStyle="1" w:styleId="MenuOption">
    <w:name w:val="Menu Option"/>
    <w:basedOn w:val="DefaultParagraphFont"/>
    <w:rsid w:val="00FE14FE"/>
    <w:rPr>
      <w:b/>
      <w:smallCaps/>
    </w:rPr>
  </w:style>
  <w:style w:type="paragraph" w:customStyle="1" w:styleId="TableListNumber">
    <w:name w:val="Table List Number"/>
    <w:basedOn w:val="ListNumber"/>
    <w:rsid w:val="00FE14FE"/>
    <w:pPr>
      <w:numPr>
        <w:numId w:val="0"/>
      </w:numPr>
    </w:pPr>
  </w:style>
  <w:style w:type="paragraph" w:styleId="TOC4">
    <w:name w:val="toc 4"/>
    <w:basedOn w:val="TOCBase"/>
    <w:next w:val="Normal"/>
    <w:semiHidden/>
    <w:rsid w:val="00FE14FE"/>
    <w:pPr>
      <w:tabs>
        <w:tab w:val="right" w:leader="dot" w:pos="9071"/>
      </w:tabs>
      <w:ind w:left="1701"/>
    </w:pPr>
  </w:style>
  <w:style w:type="paragraph" w:customStyle="1" w:styleId="ListAlpha">
    <w:name w:val="List Alpha"/>
    <w:basedOn w:val="List"/>
    <w:rsid w:val="00FE14FE"/>
    <w:pPr>
      <w:numPr>
        <w:numId w:val="9"/>
      </w:numPr>
    </w:pPr>
  </w:style>
  <w:style w:type="paragraph" w:customStyle="1" w:styleId="ListAlpha2">
    <w:name w:val="List Alpha 2"/>
    <w:basedOn w:val="List2"/>
    <w:rsid w:val="00FE14FE"/>
    <w:pPr>
      <w:numPr>
        <w:numId w:val="8"/>
      </w:numPr>
    </w:pPr>
  </w:style>
  <w:style w:type="paragraph" w:styleId="List2">
    <w:name w:val="List 2"/>
    <w:basedOn w:val="BodyText"/>
    <w:rsid w:val="00FE14FE"/>
    <w:pPr>
      <w:tabs>
        <w:tab w:val="left" w:pos="680"/>
      </w:tabs>
      <w:spacing w:before="60" w:after="60"/>
      <w:ind w:left="680" w:hanging="340"/>
    </w:pPr>
  </w:style>
  <w:style w:type="paragraph" w:styleId="List3">
    <w:name w:val="List 3"/>
    <w:basedOn w:val="BodyText"/>
    <w:rsid w:val="00FE14FE"/>
    <w:pPr>
      <w:tabs>
        <w:tab w:val="left" w:pos="1021"/>
      </w:tabs>
      <w:spacing w:before="60" w:after="60"/>
      <w:ind w:left="1020" w:hanging="340"/>
    </w:pPr>
  </w:style>
  <w:style w:type="paragraph" w:styleId="List4">
    <w:name w:val="List 4"/>
    <w:basedOn w:val="BodyText"/>
    <w:rsid w:val="00FE14FE"/>
    <w:pPr>
      <w:tabs>
        <w:tab w:val="left" w:pos="1361"/>
      </w:tabs>
      <w:spacing w:before="60" w:after="60"/>
      <w:ind w:left="1361" w:hanging="340"/>
    </w:pPr>
  </w:style>
  <w:style w:type="paragraph" w:styleId="List5">
    <w:name w:val="List 5"/>
    <w:basedOn w:val="BodyText"/>
    <w:rsid w:val="00FE14FE"/>
    <w:pPr>
      <w:tabs>
        <w:tab w:val="left" w:pos="1701"/>
      </w:tabs>
      <w:spacing w:before="60" w:after="60"/>
      <w:ind w:left="1701" w:hanging="340"/>
    </w:pPr>
  </w:style>
  <w:style w:type="paragraph" w:styleId="ListBullet3">
    <w:name w:val="List Bullet 3"/>
    <w:basedOn w:val="List3"/>
    <w:rsid w:val="00FE14FE"/>
    <w:pPr>
      <w:numPr>
        <w:numId w:val="14"/>
      </w:numPr>
      <w:tabs>
        <w:tab w:val="clear" w:pos="1021"/>
      </w:tabs>
      <w:ind w:left="1037" w:hanging="357"/>
    </w:pPr>
  </w:style>
  <w:style w:type="paragraph" w:styleId="ListBullet4">
    <w:name w:val="List Bullet 4"/>
    <w:basedOn w:val="List4"/>
    <w:rsid w:val="00FE14FE"/>
    <w:pPr>
      <w:numPr>
        <w:numId w:val="3"/>
      </w:numPr>
      <w:tabs>
        <w:tab w:val="clear" w:pos="1361"/>
      </w:tabs>
    </w:pPr>
  </w:style>
  <w:style w:type="paragraph" w:styleId="ListBullet5">
    <w:name w:val="List Bullet 5"/>
    <w:basedOn w:val="List5"/>
    <w:rsid w:val="00FE14FE"/>
    <w:pPr>
      <w:numPr>
        <w:numId w:val="4"/>
      </w:numPr>
    </w:pPr>
  </w:style>
  <w:style w:type="paragraph" w:styleId="ListContinue2">
    <w:name w:val="List Continue 2"/>
    <w:basedOn w:val="List2"/>
    <w:rsid w:val="00FE14FE"/>
    <w:pPr>
      <w:ind w:firstLine="0"/>
    </w:pPr>
  </w:style>
  <w:style w:type="paragraph" w:styleId="ListContinue3">
    <w:name w:val="List Continue 3"/>
    <w:basedOn w:val="List3"/>
    <w:rsid w:val="00FE14FE"/>
    <w:pPr>
      <w:ind w:left="1021" w:firstLine="0"/>
    </w:pPr>
  </w:style>
  <w:style w:type="paragraph" w:styleId="ListContinue4">
    <w:name w:val="List Continue 4"/>
    <w:basedOn w:val="List4"/>
    <w:rsid w:val="00FE14FE"/>
    <w:pPr>
      <w:ind w:firstLine="0"/>
    </w:pPr>
  </w:style>
  <w:style w:type="paragraph" w:styleId="ListContinue5">
    <w:name w:val="List Continue 5"/>
    <w:basedOn w:val="List5"/>
    <w:rsid w:val="00FE14FE"/>
    <w:pPr>
      <w:ind w:firstLine="0"/>
    </w:pPr>
  </w:style>
  <w:style w:type="paragraph" w:styleId="ListNumber3">
    <w:name w:val="List Number 3"/>
    <w:basedOn w:val="List3"/>
    <w:rsid w:val="00FE14FE"/>
    <w:pPr>
      <w:numPr>
        <w:numId w:val="5"/>
      </w:numPr>
    </w:pPr>
  </w:style>
  <w:style w:type="paragraph" w:styleId="ListNumber4">
    <w:name w:val="List Number 4"/>
    <w:basedOn w:val="List4"/>
    <w:rsid w:val="00FE14FE"/>
    <w:pPr>
      <w:numPr>
        <w:numId w:val="6"/>
      </w:numPr>
    </w:pPr>
  </w:style>
  <w:style w:type="paragraph" w:styleId="ListNumber5">
    <w:name w:val="List Number 5"/>
    <w:basedOn w:val="List5"/>
    <w:rsid w:val="00FE14FE"/>
    <w:pPr>
      <w:numPr>
        <w:numId w:val="7"/>
      </w:numPr>
    </w:pPr>
  </w:style>
  <w:style w:type="paragraph" w:styleId="BlockText">
    <w:name w:val="Block Text"/>
    <w:basedOn w:val="Normal"/>
    <w:rsid w:val="00FE14FE"/>
    <w:pPr>
      <w:spacing w:after="120"/>
      <w:ind w:left="1440" w:right="1440"/>
    </w:pPr>
  </w:style>
  <w:style w:type="character" w:customStyle="1" w:styleId="Subscript">
    <w:name w:val="Subscript"/>
    <w:basedOn w:val="DefaultParagraphFont"/>
    <w:rsid w:val="00FE14FE"/>
    <w:rPr>
      <w:sz w:val="16"/>
      <w:vertAlign w:val="subscript"/>
    </w:rPr>
  </w:style>
  <w:style w:type="character" w:customStyle="1" w:styleId="Superscript">
    <w:name w:val="Superscript"/>
    <w:basedOn w:val="DefaultParagraphFont"/>
    <w:rsid w:val="00FE14FE"/>
    <w:rPr>
      <w:sz w:val="16"/>
      <w:vertAlign w:val="superscript"/>
    </w:rPr>
  </w:style>
  <w:style w:type="character" w:customStyle="1" w:styleId="Symbols">
    <w:name w:val="Symbols"/>
    <w:basedOn w:val="DefaultParagraphFont"/>
    <w:rsid w:val="00FE14FE"/>
    <w:rPr>
      <w:rFonts w:ascii="Symbol" w:hAnsi="Symbol"/>
    </w:rPr>
  </w:style>
  <w:style w:type="character" w:customStyle="1" w:styleId="MenuOptions">
    <w:name w:val="Menu Options"/>
    <w:basedOn w:val="DefaultParagraphFont"/>
    <w:rsid w:val="00FE14FE"/>
    <w:rPr>
      <w:rFonts w:ascii="Arial Narrow" w:hAnsi="Arial Narrow"/>
      <w:smallCaps/>
    </w:rPr>
  </w:style>
  <w:style w:type="character" w:customStyle="1" w:styleId="Buttons">
    <w:name w:val="Buttons"/>
    <w:basedOn w:val="DefaultParagraphFont"/>
    <w:rsid w:val="00FE14FE"/>
    <w:rPr>
      <w:b/>
    </w:rPr>
  </w:style>
  <w:style w:type="character" w:customStyle="1" w:styleId="Underlined">
    <w:name w:val="Underlined"/>
    <w:basedOn w:val="DefaultParagraphFont"/>
    <w:rsid w:val="00FE14FE"/>
    <w:rPr>
      <w:u w:val="single"/>
    </w:rPr>
  </w:style>
  <w:style w:type="paragraph" w:customStyle="1" w:styleId="TableBodyTextRight">
    <w:name w:val="Table Body Text Right"/>
    <w:basedOn w:val="TableBodyText"/>
    <w:rsid w:val="00FE14FE"/>
    <w:pPr>
      <w:widowControl w:val="0"/>
      <w:autoSpaceDE w:val="0"/>
      <w:autoSpaceDN w:val="0"/>
      <w:adjustRightInd w:val="0"/>
      <w:jc w:val="right"/>
    </w:pPr>
    <w:rPr>
      <w:rFonts w:cs="Arial"/>
      <w:szCs w:val="18"/>
    </w:rPr>
  </w:style>
  <w:style w:type="paragraph" w:customStyle="1" w:styleId="CopyrightText">
    <w:name w:val="Copyright Text"/>
    <w:basedOn w:val="BodyText"/>
    <w:rsid w:val="00FE14FE"/>
    <w:rPr>
      <w:sz w:val="18"/>
    </w:rPr>
  </w:style>
  <w:style w:type="paragraph" w:customStyle="1" w:styleId="BodySmallRight">
    <w:name w:val="Body Small Right"/>
    <w:basedOn w:val="BodyTextRight"/>
    <w:rsid w:val="00FE14FE"/>
    <w:rPr>
      <w:sz w:val="18"/>
      <w:szCs w:val="18"/>
    </w:rPr>
  </w:style>
  <w:style w:type="paragraph" w:customStyle="1" w:styleId="MarginEdition">
    <w:name w:val="Margin Edition"/>
    <w:basedOn w:val="MarginNote"/>
    <w:rsid w:val="00FE14FE"/>
    <w:pPr>
      <w:spacing w:before="0" w:after="0"/>
    </w:pPr>
    <w:rPr>
      <w:rFonts w:ascii="Times New Roman" w:hAnsi="Times New Roman"/>
      <w:color w:val="999999"/>
    </w:rPr>
  </w:style>
  <w:style w:type="paragraph" w:customStyle="1" w:styleId="Spacer">
    <w:name w:val="Spacer"/>
    <w:basedOn w:val="Normal"/>
    <w:rsid w:val="00FE14FE"/>
    <w:rPr>
      <w:sz w:val="2"/>
      <w:szCs w:val="2"/>
    </w:rPr>
  </w:style>
  <w:style w:type="character" w:customStyle="1" w:styleId="Small">
    <w:name w:val="Small"/>
    <w:basedOn w:val="DefaultParagraphFont"/>
    <w:rsid w:val="00FE14FE"/>
    <w:rPr>
      <w:sz w:val="16"/>
    </w:rPr>
  </w:style>
  <w:style w:type="paragraph" w:customStyle="1" w:styleId="WideTable">
    <w:name w:val="Wide Table"/>
    <w:basedOn w:val="Normal"/>
    <w:rsid w:val="00FE14FE"/>
    <w:pPr>
      <w:ind w:left="-1418"/>
    </w:pPr>
    <w:rPr>
      <w:sz w:val="2"/>
      <w:szCs w:val="2"/>
    </w:rPr>
  </w:style>
  <w:style w:type="character" w:styleId="PageNumber">
    <w:name w:val="page number"/>
    <w:basedOn w:val="DefaultParagraphFont"/>
    <w:rsid w:val="00FE14FE"/>
  </w:style>
  <w:style w:type="paragraph" w:styleId="Quote">
    <w:name w:val="Quote"/>
    <w:basedOn w:val="Heading1"/>
    <w:link w:val="QuoteChar"/>
    <w:qFormat/>
    <w:rsid w:val="00FE14FE"/>
    <w:rPr>
      <w:b w:val="0"/>
      <w:sz w:val="72"/>
      <w:szCs w:val="72"/>
      <w:lang w:val="en-NZ"/>
    </w:rPr>
  </w:style>
  <w:style w:type="character" w:customStyle="1" w:styleId="QuoteChar">
    <w:name w:val="Quote Char"/>
    <w:basedOn w:val="DefaultParagraphFont"/>
    <w:link w:val="Quote"/>
    <w:rsid w:val="00FE1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4FE"/>
    <w:pPr>
      <w:pageBreakBefore/>
    </w:pPr>
  </w:style>
  <w:style w:type="paragraph" w:customStyle="1" w:styleId="Border">
    <w:name w:val="Border"/>
    <w:basedOn w:val="Normal"/>
    <w:qFormat/>
    <w:rsid w:val="00FE1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4FE"/>
    <w:rPr>
      <w:b/>
      <w:bCs/>
      <w:i/>
      <w:iCs/>
      <w:color w:val="auto"/>
    </w:rPr>
  </w:style>
  <w:style w:type="paragraph" w:styleId="IntenseQuote">
    <w:name w:val="Intense Quote"/>
    <w:basedOn w:val="Normal"/>
    <w:next w:val="Normal"/>
    <w:link w:val="IntenseQuoteChar"/>
    <w:uiPriority w:val="30"/>
    <w:qFormat/>
    <w:rsid w:val="00FE1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4FE"/>
    <w:rPr>
      <w:smallCaps/>
      <w:color w:val="auto"/>
      <w:u w:val="single"/>
    </w:rPr>
  </w:style>
  <w:style w:type="character" w:styleId="IntenseReference">
    <w:name w:val="Intense Reference"/>
    <w:basedOn w:val="DefaultParagraphFont"/>
    <w:uiPriority w:val="32"/>
    <w:qFormat/>
    <w:rsid w:val="00FE14FE"/>
    <w:rPr>
      <w:b/>
      <w:bCs/>
      <w:smallCaps/>
      <w:color w:val="auto"/>
      <w:spacing w:val="5"/>
      <w:u w:val="single"/>
    </w:rPr>
  </w:style>
  <w:style w:type="paragraph" w:customStyle="1" w:styleId="2ColumnHeading">
    <w:name w:val="2Column Heading"/>
    <w:basedOn w:val="BodyText"/>
    <w:qFormat/>
    <w:rsid w:val="00FE14FE"/>
    <w:pPr>
      <w:spacing w:after="60"/>
      <w:ind w:left="-2268"/>
    </w:pPr>
    <w:rPr>
      <w:b/>
    </w:rPr>
  </w:style>
  <w:style w:type="paragraph" w:customStyle="1" w:styleId="Heading1TOC">
    <w:name w:val="Heading1 TOC"/>
    <w:basedOn w:val="Normal"/>
    <w:qFormat/>
    <w:rsid w:val="00FE14FE"/>
    <w:pPr>
      <w:spacing w:before="240" w:after="120"/>
    </w:pPr>
    <w:rPr>
      <w:rFonts w:ascii="Times New Roman" w:hAnsi="Times New Roman"/>
      <w:b/>
      <w:sz w:val="32"/>
    </w:rPr>
  </w:style>
  <w:style w:type="paragraph" w:customStyle="1" w:styleId="Heading2TOC">
    <w:name w:val="Heading2 TOC"/>
    <w:basedOn w:val="Normal"/>
    <w:qFormat/>
    <w:rsid w:val="00FE14FE"/>
    <w:pPr>
      <w:spacing w:before="240" w:after="60"/>
    </w:pPr>
    <w:rPr>
      <w:rFonts w:ascii="Times New Roman" w:hAnsi="Times New Roman"/>
      <w:b/>
      <w:sz w:val="28"/>
    </w:rPr>
  </w:style>
  <w:style w:type="character" w:customStyle="1" w:styleId="Underline">
    <w:name w:val="Underline"/>
    <w:basedOn w:val="DefaultParagraphFont"/>
    <w:qFormat/>
    <w:rsid w:val="00FE14FE"/>
    <w:rPr>
      <w:u w:val="single"/>
    </w:rPr>
  </w:style>
  <w:style w:type="character" w:customStyle="1" w:styleId="BoldandItalics">
    <w:name w:val="Bold and Italics"/>
    <w:qFormat/>
    <w:rsid w:val="00FE14FE"/>
    <w:rPr>
      <w:b/>
      <w:i/>
      <w:u w:val="none"/>
    </w:rPr>
  </w:style>
  <w:style w:type="paragraph" w:styleId="BalloonText">
    <w:name w:val="Balloon Text"/>
    <w:basedOn w:val="Normal"/>
    <w:link w:val="BalloonTextChar"/>
    <w:rsid w:val="00FE14FE"/>
    <w:rPr>
      <w:rFonts w:ascii="Tahoma" w:hAnsi="Tahoma" w:cs="Tahoma"/>
      <w:sz w:val="16"/>
      <w:szCs w:val="16"/>
    </w:rPr>
  </w:style>
  <w:style w:type="character" w:customStyle="1" w:styleId="BalloonTextChar">
    <w:name w:val="Balloon Text Char"/>
    <w:basedOn w:val="DefaultParagraphFont"/>
    <w:link w:val="BalloonText"/>
    <w:rsid w:val="00FE1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4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4FE"/>
    <w:rPr>
      <w:b/>
      <w:color w:val="660033"/>
      <w:spacing w:val="0"/>
    </w:rPr>
  </w:style>
  <w:style w:type="paragraph" w:customStyle="1" w:styleId="Nameditemlist">
    <w:name w:val="Named item list"/>
    <w:basedOn w:val="BodyText"/>
    <w:qFormat/>
    <w:rsid w:val="00FE14FE"/>
    <w:pPr>
      <w:tabs>
        <w:tab w:val="left" w:pos="2835"/>
      </w:tabs>
      <w:ind w:left="2835" w:hanging="2835"/>
    </w:pPr>
  </w:style>
  <w:style w:type="paragraph" w:customStyle="1" w:styleId="BodyTextnopadding">
    <w:name w:val="Body Text no padding"/>
    <w:basedOn w:val="BodyText"/>
    <w:qFormat/>
    <w:rsid w:val="00FE14FE"/>
    <w:pPr>
      <w:spacing w:before="0" w:after="0"/>
    </w:pPr>
  </w:style>
  <w:style w:type="paragraph" w:customStyle="1" w:styleId="BodyTextBold">
    <w:name w:val="Body Text Bold"/>
    <w:basedOn w:val="BodyText"/>
    <w:qFormat/>
    <w:rsid w:val="00FE14FE"/>
    <w:rPr>
      <w:b/>
    </w:rPr>
  </w:style>
  <w:style w:type="character" w:styleId="Hyperlink">
    <w:name w:val="Hyperlink"/>
    <w:basedOn w:val="DefaultParagraphFont"/>
    <w:uiPriority w:val="99"/>
    <w:unhideWhenUsed/>
    <w:rsid w:val="00EE4E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7374</Characters>
  <Application>Microsoft Office Word</Application>
  <DocSecurity>0</DocSecurity>
  <Lines>245</Lines>
  <Paragraphs>169</Paragraphs>
  <ScaleCrop>false</ScaleCrop>
  <Company>Author-it Software Corporation Ltd.</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HLTOPD003 Dispense atypical prescriptions</dc:title>
  <dc:subject>Approved</dc:subject>
  <dc:creator>HumanAbility</dc:creator>
  <cp:keywords>Release: 1</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