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65DC" w:rsidP="00C365DC">
      <w:pPr>
        <w:pStyle w:val="Title"/>
      </w:pPr>
      <w:r>
        <w:fldChar w:fldCharType="begin"/>
      </w:r>
      <w:r>
        <w:instrText xml:space="preserve"> TITLE   \* MERGEFORMAT </w:instrText>
      </w:r>
      <w:r>
        <w:fldChar w:fldCharType="separate"/>
      </w:r>
      <w:r>
        <w:t>Assessment Requirements for HLTOPD003 Dispense atypical prescriptions</w:t>
      </w:r>
      <w:r>
        <w:fldChar w:fldCharType="end"/>
      </w:r>
    </w:p>
    <w:p w:rsidR="00C365DC" w:rsidP="00C365DC">
      <w:pPr>
        <w:pStyle w:val="Version"/>
        <w:sectPr w:rsidSect="004B1A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1A40" w:rsidP="004B1A40">
      <w:pPr>
        <w:pStyle w:val="SuperHeading"/>
      </w:pPr>
      <w:r w:rsidRPr="004B1A40">
        <w:t>Assessment Requirements for HLTOPD003 Dispense atypical prescriptions</w:t>
      </w:r>
    </w:p>
    <w:p w:rsidR="00000000" w:rsidRPr="004B1A40" w:rsidP="004B1A40">
      <w:pPr>
        <w:pStyle w:val="Heading1"/>
      </w:pPr>
      <w:bookmarkStart w:id="1" w:name="O_656976"/>
      <w:bookmarkEnd w:id="1"/>
      <w:r w:rsidRPr="004B1A40">
        <w:t>Modification History</w:t>
      </w:r>
    </w:p>
    <w:tbl>
      <w:tblPr>
        <w:tblW w:w="0" w:type="auto"/>
        <w:tblLayout w:type="fixed"/>
        <w:tblCellMar>
          <w:left w:w="62" w:type="dxa"/>
          <w:right w:w="62" w:type="dxa"/>
        </w:tblCellMar>
        <w:tblLook w:val="0000"/>
      </w:tblPr>
      <w:tblGrid>
        <w:gridCol w:w="2790"/>
        <w:gridCol w:w="6344"/>
      </w:tblGrid>
      <w:tr w:rsidTr="004B1A4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A40" w:rsidP="004B1A40">
            <w:pPr>
              <w:pStyle w:val="BodyText"/>
            </w:pPr>
            <w:r w:rsidRPr="004B1A4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A40">
            <w:pPr>
              <w:pStyle w:val="BodyText"/>
              <w:rPr>
                <w:lang w:val="en-NZ"/>
              </w:rPr>
            </w:pPr>
            <w:r w:rsidRPr="004B1A40">
              <w:rPr>
                <w:rStyle w:val="SpecialBold"/>
              </w:rPr>
              <w:t>Comments</w:t>
            </w:r>
          </w:p>
        </w:tc>
      </w:tr>
      <w:tr w:rsidTr="004B1A4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A40">
            <w:pPr>
              <w:pStyle w:val="BodyText"/>
              <w:rPr>
                <w:lang w:val="en-NZ"/>
              </w:rPr>
            </w:pPr>
            <w:r w:rsidRPr="004B1A4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A40" w:rsidP="004B1A40">
            <w:pPr>
              <w:pStyle w:val="BodyText"/>
            </w:pPr>
            <w:r w:rsidRPr="004B1A40">
              <w:t xml:space="preserve">This version was released in </w:t>
            </w:r>
            <w:r w:rsidRPr="004B1A40">
              <w:rPr>
                <w:rStyle w:val="Emphasis"/>
              </w:rPr>
              <w:t>HLT Health Training Package release 2.0</w:t>
            </w:r>
            <w:r w:rsidRPr="004B1A40">
              <w:t xml:space="preserve"> and meets the re</w:t>
            </w:r>
            <w:r w:rsidRPr="004B1A40">
              <w:t>quirements of the 2012 Standards for Training Packages.</w:t>
            </w:r>
          </w:p>
          <w:p w:rsidR="00000000" w:rsidRPr="004B1A40" w:rsidP="004B1A40">
            <w:pPr>
              <w:pStyle w:val="BodyText"/>
            </w:pPr>
            <w:r w:rsidRPr="004B1A40">
              <w:t>Significant changes to the elements and performance criteria. New evidence requirements for assessment, including volume and frequency requirements. Significant change to knowledge evidence. Removed p</w:t>
            </w:r>
            <w:r w:rsidRPr="004B1A40">
              <w:t>rerequisites.</w:t>
            </w:r>
          </w:p>
        </w:tc>
      </w:tr>
    </w:tbl>
    <w:p w:rsidR="00C365DC" w:rsidP="004B1A40">
      <w:pPr>
        <w:pStyle w:val="BodyText"/>
      </w:pPr>
    </w:p>
    <w:p w:rsidR="00C365DC" w:rsidP="004B1A40">
      <w:pPr>
        <w:pStyle w:val="BodyText"/>
      </w:pPr>
    </w:p>
    <w:p w:rsidR="00000000" w:rsidRPr="004B1A40" w:rsidP="004B1A40">
      <w:pPr>
        <w:pStyle w:val="Heading1"/>
      </w:pPr>
      <w:bookmarkStart w:id="2" w:name="O_656977"/>
      <w:bookmarkEnd w:id="2"/>
      <w:r w:rsidRPr="004B1A40">
        <w:t>Performance Evidence</w:t>
      </w:r>
    </w:p>
    <w:p w:rsidR="00000000" w:rsidRPr="004B1A40" w:rsidP="00C365DC">
      <w:pPr>
        <w:pStyle w:val="BodyText"/>
      </w:pPr>
      <w:r w:rsidRPr="004B1A40">
        <w:t>The candidate must show evidence of the ability to complete tasks outlined in elements and performance criteria of this unit, manage tasks and manage contingencies in the context of the job role. There</w:t>
      </w:r>
      <w:r w:rsidRPr="004B1A40">
        <w:t xml:space="preserve"> must be evidence that the candidate has:</w:t>
      </w:r>
    </w:p>
    <w:p w:rsidR="00000000" w:rsidRPr="004B1A40" w:rsidP="004B1A40">
      <w:pPr>
        <w:pStyle w:val="ListBullet"/>
      </w:pPr>
      <w:r w:rsidRPr="004B1A40">
        <w:t>dispensed optical appliances in response to at least 5 different atypical prescription needs</w:t>
      </w:r>
    </w:p>
    <w:p w:rsidR="00000000" w:rsidRPr="004B1A40" w:rsidP="004B1A40">
      <w:pPr>
        <w:pStyle w:val="ListBullet"/>
      </w:pPr>
      <w:r w:rsidRPr="004B1A40">
        <w:t>determined the criteria for atypical dispensing, including making accurate calculations for the following:</w:t>
      </w:r>
    </w:p>
    <w:p w:rsidR="00000000" w:rsidRPr="004B1A40" w:rsidP="004B1A40">
      <w:pPr>
        <w:pStyle w:val="ListBullet2"/>
      </w:pPr>
      <w:r w:rsidRPr="004B1A40">
        <w:t>change in vertex distance</w:t>
      </w:r>
    </w:p>
    <w:p w:rsidR="00000000" w:rsidRPr="004B1A40" w:rsidP="004B1A40">
      <w:pPr>
        <w:pStyle w:val="ListBullet2"/>
      </w:pPr>
      <w:r w:rsidRPr="004B1A40">
        <w:t>compensated power (Fc)</w:t>
      </w:r>
    </w:p>
    <w:p w:rsidR="00000000" w:rsidRPr="004B1A40" w:rsidP="004B1A40">
      <w:pPr>
        <w:pStyle w:val="ListBullet2"/>
      </w:pPr>
      <w:r w:rsidRPr="004B1A40">
        <w:t>effective power (Fe)</w:t>
      </w:r>
    </w:p>
    <w:p w:rsidR="00000000" w:rsidRPr="004B1A40" w:rsidP="004B1A40">
      <w:pPr>
        <w:pStyle w:val="ListBullet2"/>
      </w:pPr>
      <w:r w:rsidRPr="004B1A40">
        <w:t>effectivity</w:t>
      </w:r>
    </w:p>
    <w:p w:rsidR="00000000" w:rsidRPr="004B1A40" w:rsidP="004B1A40">
      <w:pPr>
        <w:pStyle w:val="ListBullet2"/>
      </w:pPr>
      <w:r w:rsidRPr="004B1A40">
        <w:t>prescriptions requiring compensations</w:t>
      </w:r>
    </w:p>
    <w:p w:rsidR="00000000" w:rsidRPr="004B1A40" w:rsidP="004B1A40">
      <w:pPr>
        <w:pStyle w:val="ListBullet"/>
      </w:pPr>
      <w:r w:rsidRPr="004B1A40">
        <w:t>calculated differential prismatic effect and compensation using different sized segments, Fresnel prisms, or slab off bifocals</w:t>
      </w:r>
    </w:p>
    <w:p w:rsidR="00000000" w:rsidRPr="004B1A40" w:rsidP="004B1A40">
      <w:pPr>
        <w:pStyle w:val="ListBullet"/>
      </w:pPr>
      <w:r w:rsidRPr="004B1A40">
        <w:t>calculat</w:t>
      </w:r>
      <w:r w:rsidRPr="004B1A40">
        <w:t>ed field of view and determine ways to improve the field of view</w:t>
      </w:r>
    </w:p>
    <w:p w:rsidR="00000000" w:rsidRPr="004B1A40" w:rsidP="004B1A40">
      <w:pPr>
        <w:pStyle w:val="ListBullet"/>
      </w:pPr>
      <w:r w:rsidRPr="004B1A40">
        <w:t>calculated spectacle magnification and determine ways to reduce the effects of aniseikonia</w:t>
      </w:r>
    </w:p>
    <w:p w:rsidR="00000000" w:rsidRPr="004B1A40" w:rsidP="004B1A40">
      <w:pPr>
        <w:pStyle w:val="ListBullet"/>
      </w:pPr>
      <w:r w:rsidRPr="004B1A40">
        <w:t>compounded and resolved prism</w:t>
      </w:r>
    </w:p>
    <w:p w:rsidR="00000000" w:rsidRPr="004B1A40" w:rsidP="004B1A40">
      <w:pPr>
        <w:pStyle w:val="AllowPageBreak"/>
      </w:pPr>
    </w:p>
    <w:p w:rsidR="00000000" w:rsidRPr="004B1A40" w:rsidP="004B1A40">
      <w:pPr>
        <w:pStyle w:val="Heading1"/>
      </w:pPr>
      <w:bookmarkStart w:id="3" w:name="O_656978"/>
      <w:bookmarkEnd w:id="3"/>
      <w:r w:rsidRPr="004B1A40">
        <w:t>Knowledge Evidence</w:t>
      </w:r>
    </w:p>
    <w:p w:rsidR="00000000" w:rsidRPr="004B1A40" w:rsidP="00C365DC">
      <w:pPr>
        <w:pStyle w:val="BodyText"/>
      </w:pPr>
      <w:r w:rsidRPr="004B1A40">
        <w:t>The candidate must be able to demo</w:t>
      </w:r>
      <w:r w:rsidRPr="004B1A40">
        <w:t>nstrate essential knowledge required to effectively complete tasks outlined in elements and performance criteria of this unit, manage tasks and manage contingencies in the context of the work role. This includes knowledge of:</w:t>
      </w:r>
    </w:p>
    <w:p w:rsidR="00000000" w:rsidRPr="004B1A40" w:rsidP="004B1A40">
      <w:pPr>
        <w:pStyle w:val="ListBullet"/>
      </w:pPr>
      <w:r w:rsidRPr="004B1A40">
        <w:t>legal and ethical considerati</w:t>
      </w:r>
      <w:r w:rsidRPr="004B1A40">
        <w:t>ons for dispensing optical advice to clients:</w:t>
      </w:r>
    </w:p>
    <w:p w:rsidR="00000000" w:rsidRPr="004B1A40" w:rsidP="004B1A40">
      <w:pPr>
        <w:pStyle w:val="ListBullet2"/>
      </w:pPr>
      <w:r w:rsidRPr="004B1A40">
        <w:t xml:space="preserve">duty of care </w:t>
      </w:r>
    </w:p>
    <w:p w:rsidR="00000000" w:rsidRPr="004B1A40" w:rsidP="004B1A40">
      <w:pPr>
        <w:pStyle w:val="ListBullet2"/>
      </w:pPr>
      <w:r w:rsidRPr="004B1A40">
        <w:t xml:space="preserve">informed consent </w:t>
      </w:r>
    </w:p>
    <w:p w:rsidR="00000000" w:rsidRPr="004B1A40" w:rsidP="004B1A40">
      <w:pPr>
        <w:pStyle w:val="ListBullet2"/>
      </w:pPr>
      <w:r w:rsidRPr="004B1A40">
        <w:t>privacy, confidentiality and disclosure</w:t>
      </w:r>
    </w:p>
    <w:p w:rsidR="00000000" w:rsidRPr="004B1A40" w:rsidP="004B1A40">
      <w:pPr>
        <w:pStyle w:val="ListBullet2"/>
      </w:pPr>
      <w:r w:rsidRPr="004B1A40">
        <w:t xml:space="preserve">records management </w:t>
      </w:r>
    </w:p>
    <w:p w:rsidR="00000000" w:rsidRPr="004B1A40" w:rsidP="004B1A40">
      <w:pPr>
        <w:pStyle w:val="ListBullet2"/>
      </w:pPr>
      <w:r w:rsidRPr="004B1A40">
        <w:t>work role boundaries – responsibilities and limitations</w:t>
      </w:r>
    </w:p>
    <w:p w:rsidR="00000000" w:rsidRPr="004B1A40" w:rsidP="004B1A40">
      <w:pPr>
        <w:pStyle w:val="ListBullet2"/>
      </w:pPr>
      <w:r w:rsidRPr="004B1A40">
        <w:t>work health and safety</w:t>
      </w:r>
    </w:p>
    <w:p w:rsidR="00000000" w:rsidRPr="004B1A40" w:rsidP="004B1A40">
      <w:pPr>
        <w:pStyle w:val="ListBullet"/>
      </w:pPr>
      <w:r w:rsidRPr="004B1A40">
        <w:t>requirements of dispensing spectacles to clients with special or complex needs, including:</w:t>
      </w:r>
    </w:p>
    <w:p w:rsidR="00000000" w:rsidRPr="004B1A40" w:rsidP="004B1A40">
      <w:pPr>
        <w:pStyle w:val="ListBullet2"/>
      </w:pPr>
      <w:r w:rsidRPr="004B1A40">
        <w:t>low vision, what it is, and how various aids may be used to assist such clients</w:t>
      </w:r>
    </w:p>
    <w:p w:rsidR="00000000" w:rsidRPr="004B1A40" w:rsidP="004B1A40">
      <w:pPr>
        <w:pStyle w:val="ListBullet"/>
      </w:pPr>
      <w:r w:rsidRPr="004B1A40">
        <w:t>types of atypical prescriptions, how to interpret and transpose them, including:</w:t>
      </w:r>
    </w:p>
    <w:p w:rsidR="00000000" w:rsidRPr="004B1A40" w:rsidP="004B1A40">
      <w:pPr>
        <w:pStyle w:val="ListBullet2"/>
      </w:pPr>
      <w:r w:rsidRPr="004B1A40">
        <w:t>a</w:t>
      </w:r>
      <w:r w:rsidRPr="004B1A40">
        <w:t>nisometropia</w:t>
      </w:r>
    </w:p>
    <w:p w:rsidR="00000000" w:rsidRPr="004B1A40" w:rsidP="004B1A40">
      <w:pPr>
        <w:pStyle w:val="ListBullet2"/>
      </w:pPr>
      <w:r w:rsidRPr="004B1A40">
        <w:t>aphakia</w:t>
      </w:r>
    </w:p>
    <w:p w:rsidR="00000000" w:rsidRPr="004B1A40" w:rsidP="004B1A40">
      <w:pPr>
        <w:pStyle w:val="ListBullet2"/>
      </w:pPr>
      <w:r w:rsidRPr="004B1A40">
        <w:t>high ametropia</w:t>
      </w:r>
    </w:p>
    <w:p w:rsidR="00000000" w:rsidRPr="004B1A40" w:rsidP="004B1A40">
      <w:pPr>
        <w:pStyle w:val="ListBullet2"/>
      </w:pPr>
      <w:r w:rsidRPr="004B1A40">
        <w:t>prism</w:t>
      </w:r>
    </w:p>
    <w:p w:rsidR="00000000" w:rsidRPr="004B1A40" w:rsidP="004B1A40">
      <w:pPr>
        <w:pStyle w:val="ListBullet"/>
      </w:pPr>
      <w:r w:rsidRPr="004B1A40">
        <w:t>features and capabilities of aphakic lenses including:</w:t>
      </w:r>
    </w:p>
    <w:p w:rsidR="00000000" w:rsidRPr="004B1A40" w:rsidP="004B1A40">
      <w:pPr>
        <w:pStyle w:val="ListBullet2"/>
      </w:pPr>
      <w:r w:rsidRPr="004B1A40">
        <w:t>aspheric lens design</w:t>
      </w:r>
    </w:p>
    <w:p w:rsidR="00000000" w:rsidRPr="004B1A40" w:rsidP="004B1A40">
      <w:pPr>
        <w:pStyle w:val="ListBullet2"/>
      </w:pPr>
      <w:r w:rsidRPr="004B1A40">
        <w:t>centering</w:t>
      </w:r>
    </w:p>
    <w:p w:rsidR="00000000" w:rsidRPr="004B1A40" w:rsidP="004B1A40">
      <w:pPr>
        <w:pStyle w:val="ListBullet2"/>
      </w:pPr>
      <w:r w:rsidRPr="004B1A40">
        <w:t>compensating for vertex distance change</w:t>
      </w:r>
    </w:p>
    <w:p w:rsidR="00000000" w:rsidRPr="004B1A40" w:rsidP="004B1A40">
      <w:pPr>
        <w:pStyle w:val="ListBullet2"/>
      </w:pPr>
      <w:r w:rsidRPr="004B1A40">
        <w:t>edging/bevelling profile</w:t>
      </w:r>
    </w:p>
    <w:p w:rsidR="00000000" w:rsidRPr="004B1A40" w:rsidP="004B1A40">
      <w:pPr>
        <w:pStyle w:val="ListBullet2"/>
      </w:pPr>
      <w:r w:rsidRPr="004B1A40">
        <w:t>full field lens design</w:t>
      </w:r>
    </w:p>
    <w:p w:rsidR="00000000" w:rsidRPr="004B1A40" w:rsidP="004B1A40">
      <w:pPr>
        <w:pStyle w:val="ListBullet2"/>
      </w:pPr>
      <w:r w:rsidRPr="004B1A40">
        <w:t>general problems associated with dispensing aphakic lenses including jack-in-the-box effect and ring scotoma</w:t>
      </w:r>
    </w:p>
    <w:p w:rsidR="00000000" w:rsidRPr="004B1A40" w:rsidP="004B1A40">
      <w:pPr>
        <w:pStyle w:val="ListBullet2"/>
      </w:pPr>
      <w:r w:rsidRPr="004B1A40">
        <w:t>lenticular designs</w:t>
      </w:r>
    </w:p>
    <w:p w:rsidR="00000000" w:rsidRPr="004B1A40" w:rsidP="004B1A40">
      <w:pPr>
        <w:pStyle w:val="ListBullet"/>
      </w:pPr>
      <w:r w:rsidRPr="004B1A40">
        <w:t>field of view and its impact on atypical dispensing, including:</w:t>
      </w:r>
    </w:p>
    <w:p w:rsidR="00000000" w:rsidRPr="004B1A40" w:rsidP="004B1A40">
      <w:pPr>
        <w:pStyle w:val="ListBullet2"/>
      </w:pPr>
      <w:r w:rsidRPr="004B1A40">
        <w:t>apparent versus real</w:t>
      </w:r>
    </w:p>
    <w:p w:rsidR="00000000" w:rsidRPr="004B1A40" w:rsidP="004B1A40">
      <w:pPr>
        <w:pStyle w:val="ListBullet2"/>
      </w:pPr>
      <w:r w:rsidRPr="004B1A40">
        <w:t>aspheric lenses</w:t>
      </w:r>
    </w:p>
    <w:p w:rsidR="00000000" w:rsidRPr="004B1A40" w:rsidP="004B1A40">
      <w:pPr>
        <w:pStyle w:val="ListBullet2"/>
      </w:pPr>
      <w:r w:rsidRPr="004B1A40">
        <w:t>calculations</w:t>
      </w:r>
    </w:p>
    <w:p w:rsidR="00000000" w:rsidRPr="004B1A40" w:rsidP="004B1A40">
      <w:pPr>
        <w:pStyle w:val="ListBullet2"/>
      </w:pPr>
      <w:r w:rsidRPr="004B1A40">
        <w:t>high minus c</w:t>
      </w:r>
      <w:r w:rsidRPr="004B1A40">
        <w:t>orrections</w:t>
      </w:r>
    </w:p>
    <w:p w:rsidR="00000000" w:rsidRPr="004B1A40" w:rsidP="004B1A40">
      <w:pPr>
        <w:pStyle w:val="ListBullet2"/>
      </w:pPr>
      <w:r w:rsidRPr="004B1A40">
        <w:t>high plus corrections</w:t>
      </w:r>
    </w:p>
    <w:p w:rsidR="00000000" w:rsidRPr="004B1A40" w:rsidP="004B1A40">
      <w:pPr>
        <w:pStyle w:val="ListBullet"/>
      </w:pPr>
      <w:r w:rsidRPr="004B1A40">
        <w:t>features of high ametropia including:</w:t>
      </w:r>
    </w:p>
    <w:p w:rsidR="00000000" w:rsidRPr="004B1A40" w:rsidP="004B1A40">
      <w:pPr>
        <w:pStyle w:val="ListBullet2"/>
      </w:pPr>
      <w:r w:rsidRPr="004B1A40">
        <w:t>back vertex power (F’v) front vertex power (Fv)</w:t>
      </w:r>
    </w:p>
    <w:p w:rsidR="00000000" w:rsidRPr="004B1A40" w:rsidP="004B1A40">
      <w:pPr>
        <w:pStyle w:val="ListBullet2"/>
      </w:pPr>
      <w:r w:rsidRPr="004B1A40">
        <w:t>compensated surface power</w:t>
      </w:r>
    </w:p>
    <w:p w:rsidR="00000000" w:rsidRPr="004B1A40" w:rsidP="004B1A40">
      <w:pPr>
        <w:pStyle w:val="ListBullet2"/>
      </w:pPr>
      <w:r w:rsidRPr="004B1A40">
        <w:t>corrections</w:t>
      </w:r>
    </w:p>
    <w:p w:rsidR="00000000" w:rsidRPr="004B1A40" w:rsidP="004B1A40">
      <w:pPr>
        <w:pStyle w:val="ListBullet2"/>
      </w:pPr>
      <w:r w:rsidRPr="004B1A40">
        <w:t>prescription requirements and constraints</w:t>
      </w:r>
    </w:p>
    <w:p w:rsidR="00000000" w:rsidRPr="004B1A40" w:rsidP="004B1A40">
      <w:pPr>
        <w:pStyle w:val="ListBullet2"/>
      </w:pPr>
      <w:r w:rsidRPr="004B1A40">
        <w:t>thick lens power</w:t>
      </w:r>
    </w:p>
    <w:p w:rsidR="00000000" w:rsidRPr="004B1A40" w:rsidP="004B1A40">
      <w:pPr>
        <w:pStyle w:val="ListBullet2"/>
      </w:pPr>
      <w:r w:rsidRPr="004B1A40">
        <w:t>types</w:t>
      </w:r>
    </w:p>
    <w:p w:rsidR="00000000" w:rsidRPr="004B1A40" w:rsidP="004B1A40">
      <w:pPr>
        <w:pStyle w:val="ListBullet"/>
      </w:pPr>
      <w:r w:rsidRPr="004B1A40">
        <w:t>high minus lenses and negative lenticulars and how they are used, including:</w:t>
      </w:r>
    </w:p>
    <w:p w:rsidR="00000000" w:rsidRPr="004B1A40" w:rsidP="004B1A40">
      <w:pPr>
        <w:pStyle w:val="ListBullet2"/>
      </w:pPr>
      <w:r w:rsidRPr="004B1A40">
        <w:t>centering</w:t>
      </w:r>
    </w:p>
    <w:p w:rsidR="00000000" w:rsidRPr="004B1A40" w:rsidP="004B1A40">
      <w:pPr>
        <w:pStyle w:val="ListBullet2"/>
      </w:pPr>
      <w:r w:rsidRPr="004B1A40">
        <w:t>compensating for vertex distance change</w:t>
      </w:r>
    </w:p>
    <w:p w:rsidR="00000000" w:rsidRPr="004B1A40" w:rsidP="004B1A40">
      <w:pPr>
        <w:pStyle w:val="ListBullet2"/>
      </w:pPr>
      <w:r w:rsidRPr="004B1A40">
        <w:t>dispensing high index materials</w:t>
      </w:r>
    </w:p>
    <w:p w:rsidR="00000000" w:rsidRPr="004B1A40" w:rsidP="004B1A40">
      <w:pPr>
        <w:pStyle w:val="ListBullet2"/>
      </w:pPr>
      <w:r w:rsidRPr="004B1A40">
        <w:t>edging/bevelling profile</w:t>
      </w:r>
    </w:p>
    <w:p w:rsidR="00000000" w:rsidRPr="004B1A40" w:rsidP="004B1A40">
      <w:pPr>
        <w:pStyle w:val="ListBullet2"/>
      </w:pPr>
      <w:r w:rsidRPr="004B1A40">
        <w:t>high index materials</w:t>
      </w:r>
    </w:p>
    <w:p w:rsidR="00000000" w:rsidRPr="004B1A40" w:rsidP="004B1A40">
      <w:pPr>
        <w:pStyle w:val="ListBullet2"/>
      </w:pPr>
      <w:r w:rsidRPr="004B1A40">
        <w:t>lenticular types and designs</w:t>
      </w:r>
    </w:p>
    <w:p w:rsidR="00000000" w:rsidRPr="004B1A40" w:rsidP="004B1A40">
      <w:pPr>
        <w:pStyle w:val="ListBullet2"/>
      </w:pPr>
      <w:r w:rsidRPr="004B1A40">
        <w:t>surface reflections a</w:t>
      </w:r>
      <w:r w:rsidRPr="004B1A40">
        <w:t>nd the need for anti-reflection and multi-coatings</w:t>
      </w:r>
    </w:p>
    <w:p w:rsidR="00000000" w:rsidRPr="004B1A40" w:rsidP="004B1A40">
      <w:pPr>
        <w:pStyle w:val="ListBullet"/>
      </w:pPr>
      <w:r w:rsidRPr="004B1A40">
        <w:t>high prismatic corrections and how they are achieved, including:</w:t>
      </w:r>
    </w:p>
    <w:p w:rsidR="00000000" w:rsidRPr="004B1A40" w:rsidP="004B1A40">
      <w:pPr>
        <w:pStyle w:val="ListBullet2"/>
      </w:pPr>
      <w:r w:rsidRPr="004B1A40">
        <w:t>edging/bevelling profile</w:t>
      </w:r>
    </w:p>
    <w:p w:rsidR="00000000" w:rsidRPr="004B1A40" w:rsidP="004B1A40">
      <w:pPr>
        <w:pStyle w:val="ListBullet2"/>
      </w:pPr>
      <w:r w:rsidRPr="004B1A40">
        <w:t>fresnels and their use</w:t>
      </w:r>
    </w:p>
    <w:p w:rsidR="00000000" w:rsidRPr="004B1A40" w:rsidP="004B1A40">
      <w:pPr>
        <w:pStyle w:val="ListBullet2"/>
      </w:pPr>
      <w:r w:rsidRPr="004B1A40">
        <w:t>high horizontal prism</w:t>
      </w:r>
    </w:p>
    <w:p w:rsidR="00000000" w:rsidRPr="004B1A40" w:rsidP="004B1A40">
      <w:pPr>
        <w:pStyle w:val="ListBullet2"/>
      </w:pPr>
      <w:r w:rsidRPr="004B1A40">
        <w:t>high vertical prism</w:t>
      </w:r>
    </w:p>
    <w:p w:rsidR="00000000" w:rsidRPr="004B1A40" w:rsidP="004B1A40">
      <w:pPr>
        <w:pStyle w:val="ListBullet"/>
      </w:pPr>
      <w:r w:rsidRPr="004B1A40">
        <w:t>ways to respond to aniso and antimetropia including:</w:t>
      </w:r>
    </w:p>
    <w:p w:rsidR="00000000" w:rsidRPr="004B1A40" w:rsidP="004B1A40">
      <w:pPr>
        <w:pStyle w:val="ListBullet2"/>
      </w:pPr>
      <w:r w:rsidRPr="004B1A40">
        <w:t>base curve selection</w:t>
      </w:r>
    </w:p>
    <w:p w:rsidR="00000000" w:rsidRPr="004B1A40" w:rsidP="004B1A40">
      <w:pPr>
        <w:pStyle w:val="ListBullet2"/>
      </w:pPr>
      <w:r w:rsidRPr="004B1A40">
        <w:t>correcting vertical imbalance problems</w:t>
      </w:r>
    </w:p>
    <w:p w:rsidR="00000000" w:rsidRPr="004B1A40" w:rsidP="004B1A40">
      <w:pPr>
        <w:pStyle w:val="ListBullet2"/>
      </w:pPr>
      <w:r w:rsidRPr="004B1A40">
        <w:t>effects of lens form (shape)</w:t>
      </w:r>
    </w:p>
    <w:p w:rsidR="00000000" w:rsidRPr="004B1A40" w:rsidP="004B1A40">
      <w:pPr>
        <w:pStyle w:val="ListBullet2"/>
      </w:pPr>
      <w:r w:rsidRPr="004B1A40">
        <w:t>effects of thickness</w:t>
      </w:r>
    </w:p>
    <w:p w:rsidR="00000000" w:rsidRPr="004B1A40" w:rsidP="004B1A40">
      <w:pPr>
        <w:pStyle w:val="ListBullet2"/>
      </w:pPr>
      <w:r w:rsidRPr="004B1A40">
        <w:t>prism differential</w:t>
      </w:r>
    </w:p>
    <w:p w:rsidR="00000000" w:rsidRPr="004B1A40" w:rsidP="004B1A40">
      <w:pPr>
        <w:pStyle w:val="ListBullet"/>
      </w:pPr>
      <w:r w:rsidRPr="004B1A40">
        <w:t>features of spectacle magnification including:</w:t>
      </w:r>
    </w:p>
    <w:p w:rsidR="00000000" w:rsidRPr="004B1A40" w:rsidP="004B1A40">
      <w:pPr>
        <w:pStyle w:val="ListBullet2"/>
      </w:pPr>
      <w:r w:rsidRPr="004B1A40">
        <w:t>effects on visual acuity</w:t>
      </w:r>
    </w:p>
    <w:p w:rsidR="00000000" w:rsidRPr="004B1A40" w:rsidP="004B1A40">
      <w:pPr>
        <w:pStyle w:val="ListBullet2"/>
      </w:pPr>
      <w:r w:rsidRPr="004B1A40">
        <w:t>positive compared to negative lenses</w:t>
      </w:r>
    </w:p>
    <w:p w:rsidR="00000000" w:rsidRPr="004B1A40" w:rsidP="004B1A40">
      <w:pPr>
        <w:pStyle w:val="ListBullet2"/>
      </w:pPr>
      <w:r w:rsidRPr="004B1A40">
        <w:t>retinal image size</w:t>
      </w:r>
    </w:p>
    <w:p w:rsidR="00000000" w:rsidRPr="004B1A40" w:rsidP="004B1A40">
      <w:pPr>
        <w:pStyle w:val="AllowPageBreak"/>
      </w:pPr>
    </w:p>
    <w:p w:rsidR="00000000" w:rsidRPr="004B1A40" w:rsidP="004B1A40">
      <w:pPr>
        <w:pStyle w:val="Heading1"/>
      </w:pPr>
      <w:bookmarkStart w:id="4" w:name="O_656979"/>
      <w:bookmarkEnd w:id="4"/>
      <w:r w:rsidRPr="004B1A40">
        <w:t>Assessment Conditions</w:t>
      </w:r>
    </w:p>
    <w:p w:rsidR="00000000" w:rsidRPr="004B1A40" w:rsidP="00C365DC">
      <w:pPr>
        <w:pStyle w:val="BodyText"/>
      </w:pPr>
      <w:r w:rsidRPr="004B1A40">
        <w:t xml:space="preserve">Skills must have been demonstrated in the workplace or in a simulated environment that reflects workplace conditions. The following conditions must be </w:t>
      </w:r>
      <w:r w:rsidRPr="004B1A40">
        <w:t xml:space="preserve">met for this unit: </w:t>
      </w:r>
    </w:p>
    <w:p w:rsidR="00000000" w:rsidRPr="004B1A40" w:rsidP="004B1A40">
      <w:pPr>
        <w:pStyle w:val="ListBullet"/>
      </w:pPr>
      <w:r w:rsidRPr="004B1A40">
        <w:t xml:space="preserve">use of suitable facilities, equipment and resources, including: </w:t>
      </w:r>
    </w:p>
    <w:p w:rsidR="00000000" w:rsidRPr="004B1A40" w:rsidP="004B1A40">
      <w:pPr>
        <w:pStyle w:val="ListBullet2"/>
      </w:pPr>
      <w:r w:rsidRPr="004B1A40">
        <w:t>vertex distance calculator (disc or table/chart)</w:t>
      </w:r>
    </w:p>
    <w:p w:rsidR="00000000" w:rsidRPr="004B1A40" w:rsidP="004B1A40">
      <w:pPr>
        <w:pStyle w:val="ListBullet2"/>
      </w:pPr>
      <w:r w:rsidRPr="004B1A40">
        <w:t>vertex distance rule</w:t>
      </w:r>
    </w:p>
    <w:p w:rsidR="00000000" w:rsidRPr="004B1A40" w:rsidP="004B1A40">
      <w:pPr>
        <w:pStyle w:val="ListBullet2"/>
      </w:pPr>
      <w:r w:rsidRPr="004B1A40">
        <w:t>vertex distance calliper (distometer type)</w:t>
      </w:r>
    </w:p>
    <w:p w:rsidR="00000000" w:rsidRPr="004B1A40" w:rsidP="004B1A40">
      <w:pPr>
        <w:pStyle w:val="ListBullet2"/>
      </w:pPr>
      <w:r w:rsidRPr="004B1A40">
        <w:t>lens measure</w:t>
      </w:r>
    </w:p>
    <w:p w:rsidR="00000000" w:rsidRPr="004B1A40" w:rsidP="004B1A40">
      <w:pPr>
        <w:pStyle w:val="ListBullet2"/>
      </w:pPr>
      <w:r w:rsidRPr="004B1A40">
        <w:t>pupillary distance (PD) rule</w:t>
      </w:r>
    </w:p>
    <w:p w:rsidR="00000000" w:rsidRPr="004B1A40" w:rsidP="004B1A40">
      <w:pPr>
        <w:pStyle w:val="ListBullet2"/>
      </w:pPr>
      <w:r w:rsidRPr="004B1A40">
        <w:t>pupillometer</w:t>
      </w:r>
    </w:p>
    <w:p w:rsidR="00000000" w:rsidRPr="004B1A40" w:rsidP="004B1A40">
      <w:pPr>
        <w:pStyle w:val="ListBullet2"/>
      </w:pPr>
      <w:r w:rsidRPr="004B1A40">
        <w:t>t</w:t>
      </w:r>
      <w:r w:rsidRPr="004B1A40">
        <w:t xml:space="preserve">hickness callipers </w:t>
      </w:r>
    </w:p>
    <w:p w:rsidR="00000000" w:rsidRPr="004B1A40" w:rsidP="004B1A40">
      <w:pPr>
        <w:pStyle w:val="ListBullet"/>
      </w:pPr>
      <w:r w:rsidRPr="004B1A40">
        <w:t>modelling of industry operating conditions, including integration of problem solving activities</w:t>
      </w:r>
    </w:p>
    <w:p w:rsidR="00000000" w:rsidRPr="004B1A40" w:rsidP="004B1A40">
      <w:pPr>
        <w:pStyle w:val="BodyText"/>
      </w:pPr>
    </w:p>
    <w:p w:rsidR="00000000" w:rsidRPr="004B1A40" w:rsidP="00C365DC">
      <w:pPr>
        <w:pStyle w:val="BodyText"/>
      </w:pPr>
      <w:r w:rsidRPr="004B1A40">
        <w:t>Assessors must satisfy the Standards for Registered Training Organisations (RTOs) 2015/AQTF mandatory competency requirements for assessor</w:t>
      </w:r>
      <w:r w:rsidRPr="004B1A40">
        <w:t>s.</w:t>
      </w:r>
    </w:p>
    <w:p w:rsidR="00000000" w:rsidRPr="004B1A40" w:rsidP="004B1A40">
      <w:pPr>
        <w:pStyle w:val="Heading1"/>
      </w:pPr>
      <w:bookmarkStart w:id="5" w:name="O_656982"/>
      <w:bookmarkEnd w:id="5"/>
      <w:r w:rsidRPr="004B1A40">
        <w:t>Links</w:t>
      </w:r>
    </w:p>
    <w:p w:rsidR="00000000" w:rsidRPr="004B1A40" w:rsidP="00C365DC">
      <w:pPr>
        <w:pStyle w:val="BodyText"/>
      </w:pPr>
      <w:r w:rsidRPr="004B1A4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57AE3">
        <w:rPr>
          <w:rStyle w:val="Hyperlink"/>
        </w:rPr>
        <w:t>https://vetnet.gov.au/Pages/TrainingDocs.aspx?q=ced1390f-48d9-4ab0-bd50-b015e5485705</w:t>
      </w:r>
      <w:r>
        <w:fldChar w:fldCharType="end"/>
      </w:r>
    </w:p>
    <w:p w:rsidR="00000000" w:rsidRPr="004B1A40" w:rsidP="004B1A40"/>
    <w:sectPr w:rsidSect="004B1A4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A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A40" w:rsidRPr="00C365DC" w:rsidP="00C365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A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5DC" w:rsidP="004B1A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65DC" w:rsidP="004B1A4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C365DC" w:rsidP="004B1A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A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5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1A40" w:rsidRPr="00C365DC" w:rsidP="00C365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A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5DC" w:rsidRPr="002D2AF8" w:rsidP="004B1A40">
    <w:pPr>
      <w:pStyle w:val="Header"/>
      <w:framePr w:wrap="around"/>
    </w:pPr>
    <w:r>
      <w:fldChar w:fldCharType="begin"/>
    </w:r>
    <w:r>
      <w:instrText xml:space="preserve"> TITLE   \* MERGEFORMAT </w:instrText>
    </w:r>
    <w:r>
      <w:fldChar w:fldCharType="separate"/>
    </w:r>
    <w:r>
      <w:t>Assessment Requirements for HLTOPD003 Dispense atypical prescriptions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C365DC" w:rsidP="004B1A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500A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5293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DCA5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A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1A40"/>
    <w:pPr>
      <w:spacing w:before="360" w:after="60"/>
      <w:outlineLvl w:val="0"/>
    </w:pPr>
    <w:rPr>
      <w:sz w:val="32"/>
    </w:rPr>
  </w:style>
  <w:style w:type="paragraph" w:styleId="Heading2">
    <w:name w:val="heading 2"/>
    <w:basedOn w:val="HeadingBase"/>
    <w:next w:val="BodyText"/>
    <w:link w:val="Heading2Char"/>
    <w:qFormat/>
    <w:rsid w:val="004B1A40"/>
    <w:pPr>
      <w:keepLines/>
      <w:spacing w:before="240" w:after="120"/>
      <w:outlineLvl w:val="1"/>
    </w:pPr>
    <w:rPr>
      <w:sz w:val="28"/>
      <w:szCs w:val="40"/>
    </w:rPr>
  </w:style>
  <w:style w:type="paragraph" w:styleId="Heading3">
    <w:name w:val="heading 3"/>
    <w:basedOn w:val="HeadingBase"/>
    <w:next w:val="BodyText"/>
    <w:link w:val="Heading3Char"/>
    <w:qFormat/>
    <w:rsid w:val="004B1A40"/>
    <w:pPr>
      <w:spacing w:before="180" w:after="120"/>
      <w:outlineLvl w:val="2"/>
    </w:pPr>
    <w:rPr>
      <w:spacing w:val="-10"/>
      <w:kern w:val="32"/>
    </w:rPr>
  </w:style>
  <w:style w:type="paragraph" w:styleId="Heading4">
    <w:name w:val="heading 4"/>
    <w:basedOn w:val="HeadingBase"/>
    <w:next w:val="BodyText"/>
    <w:link w:val="Heading4Char"/>
    <w:qFormat/>
    <w:rsid w:val="004B1A40"/>
    <w:pPr>
      <w:spacing w:before="160" w:after="120"/>
      <w:outlineLvl w:val="3"/>
    </w:pPr>
    <w:rPr>
      <w:sz w:val="22"/>
    </w:rPr>
  </w:style>
  <w:style w:type="paragraph" w:styleId="Heading5">
    <w:name w:val="heading 5"/>
    <w:basedOn w:val="HeadingBase"/>
    <w:next w:val="Normal"/>
    <w:link w:val="Heading5Char"/>
    <w:qFormat/>
    <w:rsid w:val="004B1A40"/>
    <w:pPr>
      <w:spacing w:before="80"/>
      <w:outlineLvl w:val="4"/>
    </w:pPr>
    <w:rPr>
      <w:color w:val="918585"/>
      <w:sz w:val="20"/>
    </w:rPr>
  </w:style>
  <w:style w:type="paragraph" w:styleId="Heading6">
    <w:name w:val="heading 6"/>
    <w:basedOn w:val="HeadingBase"/>
    <w:next w:val="Normal"/>
    <w:link w:val="Heading6Char"/>
    <w:qFormat/>
    <w:rsid w:val="004B1A40"/>
    <w:pPr>
      <w:spacing w:before="60"/>
      <w:outlineLvl w:val="5"/>
    </w:pPr>
    <w:rPr>
      <w:color w:val="918585"/>
      <w:sz w:val="20"/>
    </w:rPr>
  </w:style>
  <w:style w:type="paragraph" w:styleId="Heading7">
    <w:name w:val="heading 7"/>
    <w:basedOn w:val="Normal"/>
    <w:next w:val="Normal"/>
    <w:link w:val="Heading7Char"/>
    <w:qFormat/>
    <w:rsid w:val="004B1A40"/>
    <w:pPr>
      <w:ind w:left="720"/>
      <w:outlineLvl w:val="6"/>
    </w:pPr>
    <w:rPr>
      <w:i/>
    </w:rPr>
  </w:style>
  <w:style w:type="paragraph" w:styleId="Heading8">
    <w:name w:val="heading 8"/>
    <w:basedOn w:val="Normal"/>
    <w:next w:val="Normal"/>
    <w:link w:val="Heading8Char"/>
    <w:qFormat/>
    <w:rsid w:val="004B1A40"/>
    <w:pPr>
      <w:ind w:left="720"/>
      <w:outlineLvl w:val="7"/>
    </w:pPr>
    <w:rPr>
      <w:i/>
    </w:rPr>
  </w:style>
  <w:style w:type="paragraph" w:styleId="Heading9">
    <w:name w:val="heading 9"/>
    <w:basedOn w:val="Normal"/>
    <w:next w:val="Normal"/>
    <w:link w:val="Heading9Char"/>
    <w:qFormat/>
    <w:rsid w:val="004B1A40"/>
    <w:pPr>
      <w:ind w:left="720"/>
      <w:outlineLvl w:val="8"/>
    </w:pPr>
    <w:rPr>
      <w:i/>
    </w:rPr>
  </w:style>
  <w:style w:type="character" w:default="1" w:styleId="DefaultParagraphFont">
    <w:name w:val="Default Paragraph Font"/>
    <w:uiPriority w:val="1"/>
    <w:unhideWhenUsed/>
    <w:rsid w:val="004B1A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1A40"/>
  </w:style>
  <w:style w:type="character" w:customStyle="1" w:styleId="Heading1Char">
    <w:name w:val="Heading 1 Char"/>
    <w:basedOn w:val="DefaultParagraphFont"/>
    <w:link w:val="Heading1"/>
    <w:rsid w:val="004B1A40"/>
    <w:rPr>
      <w:rFonts w:ascii="Times New Roman" w:eastAsia="Times New Roman" w:hAnsi="Times New Roman" w:cs="Times New Roman"/>
      <w:b/>
      <w:sz w:val="32"/>
      <w:szCs w:val="20"/>
      <w:lang w:eastAsia="en-US"/>
    </w:rPr>
  </w:style>
  <w:style w:type="paragraph" w:styleId="BodyText">
    <w:name w:val="Body Text"/>
    <w:basedOn w:val="Normal"/>
    <w:link w:val="BodyTextChar"/>
    <w:rsid w:val="004B1A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1A40"/>
    <w:rPr>
      <w:rFonts w:ascii="Times New Roman" w:eastAsia="Times New Roman" w:hAnsi="Times New Roman" w:cs="Times New Roman"/>
      <w:sz w:val="24"/>
      <w:lang w:eastAsia="en-US"/>
    </w:rPr>
  </w:style>
  <w:style w:type="paragraph" w:styleId="ListBullet">
    <w:name w:val="List Bullet"/>
    <w:basedOn w:val="List"/>
    <w:rsid w:val="004B1A40"/>
    <w:pPr>
      <w:numPr>
        <w:numId w:val="12"/>
      </w:numPr>
      <w:tabs>
        <w:tab w:val="clear" w:pos="340"/>
      </w:tabs>
      <w:spacing w:before="40" w:after="40"/>
    </w:pPr>
  </w:style>
  <w:style w:type="character" w:customStyle="1" w:styleId="SpecialBold">
    <w:name w:val="Special Bold"/>
    <w:basedOn w:val="DefaultParagraphFont"/>
    <w:rsid w:val="004B1A40"/>
    <w:rPr>
      <w:b/>
      <w:spacing w:val="0"/>
    </w:rPr>
  </w:style>
  <w:style w:type="paragraph" w:styleId="ListBullet2">
    <w:name w:val="List Bullet 2"/>
    <w:basedOn w:val="List2"/>
    <w:rsid w:val="004B1A40"/>
    <w:pPr>
      <w:numPr>
        <w:numId w:val="13"/>
      </w:numPr>
      <w:tabs>
        <w:tab w:val="clear" w:pos="680"/>
      </w:tabs>
    </w:pPr>
  </w:style>
  <w:style w:type="character" w:styleId="Emphasis">
    <w:name w:val="Emphasis"/>
    <w:basedOn w:val="DefaultParagraphFont"/>
    <w:qFormat/>
    <w:rsid w:val="004B1A40"/>
    <w:rPr>
      <w:i/>
    </w:rPr>
  </w:style>
  <w:style w:type="paragraph" w:customStyle="1" w:styleId="SuperHeading">
    <w:name w:val="SuperHeading"/>
    <w:basedOn w:val="Normal"/>
    <w:rsid w:val="004B1A40"/>
    <w:pPr>
      <w:spacing w:before="240" w:after="120"/>
      <w:outlineLvl w:val="0"/>
    </w:pPr>
    <w:rPr>
      <w:rFonts w:ascii="Times New Roman" w:hAnsi="Times New Roman"/>
      <w:b/>
      <w:sz w:val="32"/>
    </w:rPr>
  </w:style>
  <w:style w:type="paragraph" w:customStyle="1" w:styleId="AllowPageBreak">
    <w:name w:val="AllowPageBreak"/>
    <w:rsid w:val="004B1A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1A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1A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1A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1A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1A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1A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1A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1A40"/>
    <w:rPr>
      <w:rFonts w:ascii="Courier New" w:eastAsia="Times New Roman" w:hAnsi="Courier New" w:cs="Times New Roman"/>
      <w:i/>
      <w:szCs w:val="20"/>
      <w:lang w:eastAsia="en-US"/>
    </w:rPr>
  </w:style>
  <w:style w:type="paragraph" w:customStyle="1" w:styleId="HeadingBase">
    <w:name w:val="Heading Base"/>
    <w:rsid w:val="004B1A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1A40"/>
    <w:pPr>
      <w:tabs>
        <w:tab w:val="right" w:leader="dot" w:pos="9072"/>
      </w:tabs>
      <w:ind w:left="567"/>
    </w:pPr>
    <w:rPr>
      <w:szCs w:val="22"/>
    </w:rPr>
  </w:style>
  <w:style w:type="paragraph" w:customStyle="1" w:styleId="TOCBase">
    <w:name w:val="TOC Base"/>
    <w:rsid w:val="004B1A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1A40"/>
    <w:pPr>
      <w:tabs>
        <w:tab w:val="right" w:leader="dot" w:pos="9072"/>
      </w:tabs>
      <w:spacing w:before="40" w:after="40"/>
      <w:ind w:left="284"/>
    </w:pPr>
    <w:rPr>
      <w:rFonts w:ascii="Times New Roman" w:hAnsi="Times New Roman"/>
    </w:rPr>
  </w:style>
  <w:style w:type="paragraph" w:styleId="TOC1">
    <w:name w:val="toc 1"/>
    <w:basedOn w:val="TOCBase"/>
    <w:next w:val="Normal"/>
    <w:rsid w:val="004B1A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1A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1A40"/>
    <w:rPr>
      <w:rFonts w:ascii="Times New Roman" w:eastAsia="Times New Roman" w:hAnsi="Times New Roman" w:cs="Times New Roman"/>
      <w:sz w:val="16"/>
      <w:lang w:eastAsia="en-US"/>
    </w:rPr>
  </w:style>
  <w:style w:type="paragraph" w:styleId="Title">
    <w:name w:val="Title"/>
    <w:basedOn w:val="HeadingBase"/>
    <w:link w:val="TitleChar"/>
    <w:qFormat/>
    <w:rsid w:val="004B1A40"/>
    <w:pPr>
      <w:spacing w:before="5040"/>
      <w:jc w:val="center"/>
    </w:pPr>
    <w:rPr>
      <w:sz w:val="48"/>
      <w:szCs w:val="72"/>
      <w:lang w:val="en-US"/>
    </w:rPr>
  </w:style>
  <w:style w:type="character" w:customStyle="1" w:styleId="TitleChar">
    <w:name w:val="Title Char"/>
    <w:basedOn w:val="DefaultParagraphFont"/>
    <w:link w:val="Title"/>
    <w:rsid w:val="004B1A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1A40"/>
    <w:pPr>
      <w:tabs>
        <w:tab w:val="left" w:pos="3600"/>
        <w:tab w:val="left" w:pos="3958"/>
      </w:tabs>
    </w:pPr>
  </w:style>
  <w:style w:type="paragraph" w:styleId="List">
    <w:name w:val="List"/>
    <w:basedOn w:val="BodyText"/>
    <w:next w:val="BodyText"/>
    <w:rsid w:val="004B1A40"/>
    <w:pPr>
      <w:tabs>
        <w:tab w:val="left" w:pos="340"/>
      </w:tabs>
      <w:spacing w:before="60" w:after="60"/>
      <w:ind w:left="340" w:hanging="340"/>
    </w:pPr>
  </w:style>
  <w:style w:type="paragraph" w:customStyle="1" w:styleId="Note">
    <w:name w:val="Note"/>
    <w:basedOn w:val="BodyText"/>
    <w:rsid w:val="004B1A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1A40"/>
    <w:pPr>
      <w:framePr w:wrap="auto" w:hAnchor="text" w:y="6049"/>
    </w:pPr>
    <w:rPr>
      <w:color w:val="000000"/>
      <w:sz w:val="40"/>
    </w:rPr>
  </w:style>
  <w:style w:type="paragraph" w:customStyle="1" w:styleId="TOCTitle">
    <w:name w:val="TOCTitle"/>
    <w:basedOn w:val="Heading1"/>
    <w:rsid w:val="004B1A40"/>
    <w:pPr>
      <w:spacing w:after="240"/>
      <w:jc w:val="center"/>
      <w:outlineLvl w:val="9"/>
    </w:pPr>
    <w:rPr>
      <w:caps/>
    </w:rPr>
  </w:style>
  <w:style w:type="paragraph" w:customStyle="1" w:styleId="Version">
    <w:name w:val="Version"/>
    <w:rsid w:val="004B1A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1A40"/>
    <w:pPr>
      <w:keepNext w:val="0"/>
      <w:tabs>
        <w:tab w:val="right" w:pos="4176"/>
      </w:tabs>
      <w:ind w:left="198" w:hanging="198"/>
    </w:pPr>
    <w:rPr>
      <w:rFonts w:ascii="Garamond" w:hAnsi="Garamond"/>
    </w:rPr>
  </w:style>
  <w:style w:type="paragraph" w:styleId="IndexHeading">
    <w:name w:val="index heading"/>
    <w:basedOn w:val="Normal"/>
    <w:next w:val="Index1"/>
    <w:semiHidden/>
    <w:rsid w:val="004B1A40"/>
    <w:pPr>
      <w:spacing w:before="120" w:after="120"/>
    </w:pPr>
    <w:rPr>
      <w:rFonts w:ascii="Arial" w:hAnsi="Arial"/>
      <w:b/>
      <w:color w:val="918585"/>
      <w:sz w:val="24"/>
    </w:rPr>
  </w:style>
  <w:style w:type="paragraph" w:styleId="Header">
    <w:name w:val="header"/>
    <w:basedOn w:val="Normal"/>
    <w:link w:val="HeaderChar"/>
    <w:rsid w:val="004B1A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1A40"/>
    <w:rPr>
      <w:rFonts w:ascii="Times New Roman" w:eastAsia="Times New Roman" w:hAnsi="Times New Roman" w:cs="Times New Roman"/>
      <w:sz w:val="16"/>
      <w:szCs w:val="20"/>
      <w:lang w:val="en-GB" w:eastAsia="en-US"/>
    </w:rPr>
  </w:style>
  <w:style w:type="paragraph" w:customStyle="1" w:styleId="Chapter">
    <w:name w:val="Chapter"/>
    <w:basedOn w:val="Normal"/>
    <w:rsid w:val="004B1A40"/>
    <w:pPr>
      <w:spacing w:before="240"/>
    </w:pPr>
    <w:rPr>
      <w:rFonts w:ascii="Times New Roman" w:hAnsi="Times New Roman"/>
      <w:smallCaps/>
      <w:spacing w:val="80"/>
      <w:sz w:val="28"/>
    </w:rPr>
  </w:style>
  <w:style w:type="paragraph" w:customStyle="1" w:styleId="InChapter">
    <w:name w:val="InChapter"/>
    <w:basedOn w:val="Heading3"/>
    <w:rsid w:val="004B1A40"/>
    <w:pPr>
      <w:spacing w:after="240"/>
      <w:outlineLvl w:val="9"/>
    </w:pPr>
    <w:rPr>
      <w:noProof/>
    </w:rPr>
  </w:style>
  <w:style w:type="paragraph" w:styleId="Index2">
    <w:name w:val="index 2"/>
    <w:basedOn w:val="Normal"/>
    <w:next w:val="Normal"/>
    <w:semiHidden/>
    <w:rsid w:val="004B1A40"/>
    <w:pPr>
      <w:tabs>
        <w:tab w:val="right" w:pos="4176"/>
      </w:tabs>
      <w:ind w:left="568" w:hanging="284"/>
    </w:pPr>
    <w:rPr>
      <w:rFonts w:ascii="Garamond" w:hAnsi="Garamond"/>
    </w:rPr>
  </w:style>
  <w:style w:type="paragraph" w:customStyle="1" w:styleId="Byline">
    <w:name w:val="Byline"/>
    <w:rsid w:val="004B1A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1A40"/>
    <w:pPr>
      <w:tabs>
        <w:tab w:val="clear" w:pos="3600"/>
        <w:tab w:val="clear" w:pos="3958"/>
      </w:tabs>
      <w:jc w:val="right"/>
    </w:pPr>
  </w:style>
  <w:style w:type="paragraph" w:styleId="Caption">
    <w:name w:val="caption"/>
    <w:basedOn w:val="BodyText"/>
    <w:next w:val="Normal"/>
    <w:qFormat/>
    <w:rsid w:val="004B1A40"/>
    <w:pPr>
      <w:framePr w:w="2268" w:hSpace="181" w:vSpace="181" w:wrap="around" w:vAnchor="text" w:hAnchor="page" w:x="1135" w:y="285" w:anchorLock="1"/>
    </w:pPr>
    <w:rPr>
      <w:i/>
    </w:rPr>
  </w:style>
  <w:style w:type="paragraph" w:customStyle="1" w:styleId="MiniTOCTitle">
    <w:name w:val="MiniTOCTitle"/>
    <w:basedOn w:val="Heading4"/>
    <w:rsid w:val="004B1A40"/>
    <w:pPr>
      <w:spacing w:before="240"/>
      <w:outlineLvl w:val="9"/>
    </w:pPr>
    <w:rPr>
      <w:noProof/>
      <w:sz w:val="24"/>
    </w:rPr>
  </w:style>
  <w:style w:type="paragraph" w:customStyle="1" w:styleId="MiniTOCItem">
    <w:name w:val="MiniTOCItem"/>
    <w:basedOn w:val="ListBullet"/>
    <w:rsid w:val="004B1A40"/>
    <w:pPr>
      <w:numPr>
        <w:numId w:val="0"/>
      </w:numPr>
      <w:tabs>
        <w:tab w:val="right" w:leader="dot" w:pos="6521"/>
      </w:tabs>
      <w:spacing w:before="0" w:after="0"/>
    </w:pPr>
  </w:style>
  <w:style w:type="paragraph" w:customStyle="1" w:styleId="TOFTitle">
    <w:name w:val="TOFTitle"/>
    <w:basedOn w:val="TOCTitle"/>
    <w:rsid w:val="004B1A40"/>
  </w:style>
  <w:style w:type="paragraph" w:styleId="TableofFigures">
    <w:name w:val="table of figures"/>
    <w:basedOn w:val="Normal"/>
    <w:next w:val="Normal"/>
    <w:semiHidden/>
    <w:rsid w:val="004B1A40"/>
    <w:pPr>
      <w:tabs>
        <w:tab w:val="right" w:leader="dot" w:pos="9072"/>
      </w:tabs>
      <w:ind w:left="970" w:hanging="403"/>
    </w:pPr>
    <w:rPr>
      <w:rFonts w:ascii="Times New Roman" w:hAnsi="Times New Roman"/>
      <w:b/>
    </w:rPr>
  </w:style>
  <w:style w:type="paragraph" w:styleId="ListNumber">
    <w:name w:val="List Number"/>
    <w:basedOn w:val="List"/>
    <w:rsid w:val="004B1A40"/>
    <w:pPr>
      <w:numPr>
        <w:numId w:val="15"/>
      </w:numPr>
      <w:tabs>
        <w:tab w:val="clear" w:pos="340"/>
      </w:tabs>
    </w:pPr>
  </w:style>
  <w:style w:type="character" w:customStyle="1" w:styleId="WingdingSymbols">
    <w:name w:val="Wingding Symbols"/>
    <w:rsid w:val="004B1A40"/>
    <w:rPr>
      <w:rFonts w:ascii="Wingdings" w:hAnsi="Wingdings"/>
    </w:rPr>
  </w:style>
  <w:style w:type="paragraph" w:customStyle="1" w:styleId="TableHeading">
    <w:name w:val="Table Heading"/>
    <w:basedOn w:val="HeadingBase"/>
    <w:rsid w:val="004B1A40"/>
    <w:pPr>
      <w:keepLines/>
      <w:pBdr>
        <w:bottom w:val="single" w:sz="6" w:space="1" w:color="918585"/>
      </w:pBdr>
      <w:spacing w:before="240"/>
    </w:pPr>
  </w:style>
  <w:style w:type="character" w:customStyle="1" w:styleId="HotSpot">
    <w:name w:val="HotSpot"/>
    <w:rsid w:val="004B1A40"/>
    <w:rPr>
      <w:color w:val="0033CC"/>
      <w:u w:val="none"/>
    </w:rPr>
  </w:style>
  <w:style w:type="paragraph" w:customStyle="1" w:styleId="BodyTextRight">
    <w:name w:val="Body Text Right"/>
    <w:basedOn w:val="BodyText"/>
    <w:rsid w:val="004B1A40"/>
    <w:pPr>
      <w:spacing w:before="0" w:after="0"/>
      <w:jc w:val="right"/>
    </w:pPr>
  </w:style>
  <w:style w:type="paragraph" w:styleId="Index3">
    <w:name w:val="index 3"/>
    <w:basedOn w:val="ListNumber2"/>
    <w:next w:val="Normal"/>
    <w:semiHidden/>
    <w:rsid w:val="004B1A40"/>
    <w:pPr>
      <w:numPr>
        <w:numId w:val="0"/>
      </w:numPr>
      <w:tabs>
        <w:tab w:val="right" w:leader="dot" w:pos="4176"/>
      </w:tabs>
    </w:pPr>
  </w:style>
  <w:style w:type="paragraph" w:styleId="ListNumber2">
    <w:name w:val="List Number 2"/>
    <w:basedOn w:val="List2"/>
    <w:rsid w:val="004B1A40"/>
    <w:pPr>
      <w:numPr>
        <w:numId w:val="10"/>
      </w:numPr>
      <w:tabs>
        <w:tab w:val="clear" w:pos="1060"/>
      </w:tabs>
    </w:pPr>
  </w:style>
  <w:style w:type="paragraph" w:customStyle="1" w:styleId="MarginNote">
    <w:name w:val="Margin Note"/>
    <w:basedOn w:val="BodyText"/>
    <w:rsid w:val="004B1A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1A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1A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1A40"/>
    <w:rPr>
      <w:sz w:val="32"/>
    </w:rPr>
  </w:style>
  <w:style w:type="paragraph" w:customStyle="1" w:styleId="HeadingProcedure">
    <w:name w:val="Heading Procedure"/>
    <w:basedOn w:val="HeadingBase"/>
    <w:next w:val="Normal"/>
    <w:rsid w:val="004B1A40"/>
    <w:pPr>
      <w:tabs>
        <w:tab w:val="left" w:pos="0"/>
      </w:tabs>
      <w:spacing w:before="120" w:after="60"/>
    </w:pPr>
    <w:rPr>
      <w:i/>
      <w:color w:val="918585"/>
      <w:sz w:val="22"/>
    </w:rPr>
  </w:style>
  <w:style w:type="paragraph" w:customStyle="1" w:styleId="TableBodyText">
    <w:name w:val="Table Body Text"/>
    <w:basedOn w:val="BodyText"/>
    <w:rsid w:val="004B1A40"/>
    <w:pPr>
      <w:spacing w:before="60" w:after="60"/>
    </w:pPr>
  </w:style>
  <w:style w:type="paragraph" w:styleId="ListContinue">
    <w:name w:val="List Continue"/>
    <w:basedOn w:val="List"/>
    <w:rsid w:val="004B1A40"/>
    <w:pPr>
      <w:ind w:firstLine="0"/>
    </w:pPr>
  </w:style>
  <w:style w:type="paragraph" w:customStyle="1" w:styleId="ListNote">
    <w:name w:val="List Note"/>
    <w:basedOn w:val="List"/>
    <w:rsid w:val="004B1A40"/>
    <w:pPr>
      <w:pBdr>
        <w:top w:val="single" w:sz="6" w:space="2" w:color="918585"/>
        <w:bottom w:val="single" w:sz="6" w:space="2" w:color="918585"/>
      </w:pBdr>
      <w:tabs>
        <w:tab w:val="left" w:pos="1021"/>
      </w:tabs>
      <w:ind w:firstLine="0"/>
    </w:pPr>
  </w:style>
  <w:style w:type="paragraph" w:customStyle="1" w:styleId="Warning">
    <w:name w:val="Warning"/>
    <w:basedOn w:val="BodyText"/>
    <w:rsid w:val="004B1A40"/>
    <w:pPr>
      <w:shd w:val="clear" w:color="auto" w:fill="D9D9D9"/>
      <w:tabs>
        <w:tab w:val="left" w:pos="992"/>
      </w:tabs>
      <w:ind w:left="119" w:right="119"/>
    </w:pPr>
    <w:rPr>
      <w:sz w:val="20"/>
    </w:rPr>
  </w:style>
  <w:style w:type="paragraph" w:customStyle="1" w:styleId="MarginIcons">
    <w:name w:val="Margin Icons"/>
    <w:basedOn w:val="BodyText"/>
    <w:rsid w:val="004B1A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1A40"/>
    <w:rPr>
      <w:rFonts w:ascii="Courier New" w:hAnsi="Courier New"/>
    </w:rPr>
  </w:style>
  <w:style w:type="paragraph" w:customStyle="1" w:styleId="NoteBullet">
    <w:name w:val="Note Bullet"/>
    <w:basedOn w:val="Note"/>
    <w:rsid w:val="004B1A40"/>
    <w:pPr>
      <w:tabs>
        <w:tab w:val="clear" w:pos="680"/>
      </w:tabs>
      <w:spacing w:before="60" w:after="60"/>
    </w:pPr>
  </w:style>
  <w:style w:type="paragraph" w:customStyle="1" w:styleId="SubHeading2">
    <w:name w:val="SubHeading2"/>
    <w:basedOn w:val="HeadingBase"/>
    <w:rsid w:val="004B1A40"/>
    <w:pPr>
      <w:spacing w:before="240" w:after="60"/>
    </w:pPr>
    <w:rPr>
      <w:sz w:val="20"/>
    </w:rPr>
  </w:style>
  <w:style w:type="paragraph" w:customStyle="1" w:styleId="SubHeading1">
    <w:name w:val="SubHeading1"/>
    <w:basedOn w:val="HeadingBase"/>
    <w:rsid w:val="004B1A40"/>
    <w:pPr>
      <w:spacing w:before="240" w:after="60"/>
    </w:pPr>
    <w:rPr>
      <w:color w:val="918585"/>
      <w:sz w:val="22"/>
    </w:rPr>
  </w:style>
  <w:style w:type="paragraph" w:customStyle="1" w:styleId="SideHeading">
    <w:name w:val="Side Heading"/>
    <w:basedOn w:val="HeadingBase"/>
    <w:rsid w:val="004B1A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1A40"/>
    <w:pPr>
      <w:tabs>
        <w:tab w:val="num" w:pos="360"/>
      </w:tabs>
    </w:pPr>
  </w:style>
  <w:style w:type="paragraph" w:styleId="PlainText">
    <w:name w:val="Plain Text"/>
    <w:basedOn w:val="Normal"/>
    <w:link w:val="PlainTextChar"/>
    <w:rsid w:val="004B1A40"/>
    <w:rPr>
      <w:sz w:val="20"/>
    </w:rPr>
  </w:style>
  <w:style w:type="character" w:customStyle="1" w:styleId="PlainTextChar">
    <w:name w:val="Plain Text Char"/>
    <w:basedOn w:val="DefaultParagraphFont"/>
    <w:link w:val="PlainText"/>
    <w:rsid w:val="004B1A40"/>
    <w:rPr>
      <w:rFonts w:ascii="Courier New" w:eastAsia="Times New Roman" w:hAnsi="Courier New" w:cs="Times New Roman"/>
      <w:sz w:val="20"/>
      <w:szCs w:val="20"/>
      <w:lang w:eastAsia="en-US"/>
    </w:rPr>
  </w:style>
  <w:style w:type="character" w:customStyle="1" w:styleId="MenuOption">
    <w:name w:val="Menu Option"/>
    <w:basedOn w:val="DefaultParagraphFont"/>
    <w:rsid w:val="004B1A40"/>
    <w:rPr>
      <w:b/>
      <w:smallCaps/>
    </w:rPr>
  </w:style>
  <w:style w:type="paragraph" w:customStyle="1" w:styleId="TableListNumber">
    <w:name w:val="Table List Number"/>
    <w:basedOn w:val="ListNumber"/>
    <w:rsid w:val="004B1A40"/>
    <w:pPr>
      <w:numPr>
        <w:numId w:val="0"/>
      </w:numPr>
    </w:pPr>
  </w:style>
  <w:style w:type="paragraph" w:styleId="TOC4">
    <w:name w:val="toc 4"/>
    <w:basedOn w:val="TOCBase"/>
    <w:next w:val="Normal"/>
    <w:semiHidden/>
    <w:rsid w:val="004B1A40"/>
    <w:pPr>
      <w:tabs>
        <w:tab w:val="right" w:leader="dot" w:pos="9071"/>
      </w:tabs>
      <w:ind w:left="1701"/>
    </w:pPr>
  </w:style>
  <w:style w:type="paragraph" w:customStyle="1" w:styleId="ListAlpha">
    <w:name w:val="List Alpha"/>
    <w:basedOn w:val="List"/>
    <w:rsid w:val="004B1A40"/>
    <w:pPr>
      <w:numPr>
        <w:numId w:val="9"/>
      </w:numPr>
    </w:pPr>
  </w:style>
  <w:style w:type="paragraph" w:customStyle="1" w:styleId="ListAlpha2">
    <w:name w:val="List Alpha 2"/>
    <w:basedOn w:val="List2"/>
    <w:rsid w:val="004B1A40"/>
    <w:pPr>
      <w:numPr>
        <w:numId w:val="8"/>
      </w:numPr>
    </w:pPr>
  </w:style>
  <w:style w:type="paragraph" w:styleId="List2">
    <w:name w:val="List 2"/>
    <w:basedOn w:val="BodyText"/>
    <w:rsid w:val="004B1A40"/>
    <w:pPr>
      <w:tabs>
        <w:tab w:val="left" w:pos="680"/>
      </w:tabs>
      <w:spacing w:before="60" w:after="60"/>
      <w:ind w:left="680" w:hanging="340"/>
    </w:pPr>
  </w:style>
  <w:style w:type="paragraph" w:styleId="List3">
    <w:name w:val="List 3"/>
    <w:basedOn w:val="BodyText"/>
    <w:rsid w:val="004B1A40"/>
    <w:pPr>
      <w:tabs>
        <w:tab w:val="left" w:pos="1021"/>
      </w:tabs>
      <w:spacing w:before="60" w:after="60"/>
      <w:ind w:left="1020" w:hanging="340"/>
    </w:pPr>
  </w:style>
  <w:style w:type="paragraph" w:styleId="List4">
    <w:name w:val="List 4"/>
    <w:basedOn w:val="BodyText"/>
    <w:rsid w:val="004B1A40"/>
    <w:pPr>
      <w:tabs>
        <w:tab w:val="left" w:pos="1361"/>
      </w:tabs>
      <w:spacing w:before="60" w:after="60"/>
      <w:ind w:left="1361" w:hanging="340"/>
    </w:pPr>
  </w:style>
  <w:style w:type="paragraph" w:styleId="List5">
    <w:name w:val="List 5"/>
    <w:basedOn w:val="BodyText"/>
    <w:rsid w:val="004B1A40"/>
    <w:pPr>
      <w:tabs>
        <w:tab w:val="left" w:pos="1701"/>
      </w:tabs>
      <w:spacing w:before="60" w:after="60"/>
      <w:ind w:left="1701" w:hanging="340"/>
    </w:pPr>
  </w:style>
  <w:style w:type="paragraph" w:styleId="ListBullet3">
    <w:name w:val="List Bullet 3"/>
    <w:basedOn w:val="List3"/>
    <w:rsid w:val="004B1A40"/>
    <w:pPr>
      <w:numPr>
        <w:numId w:val="14"/>
      </w:numPr>
      <w:tabs>
        <w:tab w:val="clear" w:pos="1021"/>
      </w:tabs>
      <w:ind w:left="1037" w:hanging="357"/>
    </w:pPr>
  </w:style>
  <w:style w:type="paragraph" w:styleId="ListBullet4">
    <w:name w:val="List Bullet 4"/>
    <w:basedOn w:val="List4"/>
    <w:rsid w:val="004B1A40"/>
    <w:pPr>
      <w:numPr>
        <w:numId w:val="3"/>
      </w:numPr>
      <w:tabs>
        <w:tab w:val="clear" w:pos="1361"/>
      </w:tabs>
    </w:pPr>
  </w:style>
  <w:style w:type="paragraph" w:styleId="ListBullet5">
    <w:name w:val="List Bullet 5"/>
    <w:basedOn w:val="List5"/>
    <w:rsid w:val="004B1A40"/>
    <w:pPr>
      <w:numPr>
        <w:numId w:val="4"/>
      </w:numPr>
    </w:pPr>
  </w:style>
  <w:style w:type="paragraph" w:styleId="ListContinue2">
    <w:name w:val="List Continue 2"/>
    <w:basedOn w:val="List2"/>
    <w:rsid w:val="004B1A40"/>
    <w:pPr>
      <w:ind w:firstLine="0"/>
    </w:pPr>
  </w:style>
  <w:style w:type="paragraph" w:styleId="ListContinue3">
    <w:name w:val="List Continue 3"/>
    <w:basedOn w:val="List3"/>
    <w:rsid w:val="004B1A40"/>
    <w:pPr>
      <w:ind w:left="1021" w:firstLine="0"/>
    </w:pPr>
  </w:style>
  <w:style w:type="paragraph" w:styleId="ListContinue4">
    <w:name w:val="List Continue 4"/>
    <w:basedOn w:val="List4"/>
    <w:rsid w:val="004B1A40"/>
    <w:pPr>
      <w:ind w:firstLine="0"/>
    </w:pPr>
  </w:style>
  <w:style w:type="paragraph" w:styleId="ListContinue5">
    <w:name w:val="List Continue 5"/>
    <w:basedOn w:val="List5"/>
    <w:rsid w:val="004B1A40"/>
    <w:pPr>
      <w:ind w:firstLine="0"/>
    </w:pPr>
  </w:style>
  <w:style w:type="paragraph" w:styleId="ListNumber3">
    <w:name w:val="List Number 3"/>
    <w:basedOn w:val="List3"/>
    <w:rsid w:val="004B1A40"/>
    <w:pPr>
      <w:numPr>
        <w:numId w:val="5"/>
      </w:numPr>
    </w:pPr>
  </w:style>
  <w:style w:type="paragraph" w:styleId="ListNumber4">
    <w:name w:val="List Number 4"/>
    <w:basedOn w:val="List4"/>
    <w:rsid w:val="004B1A40"/>
    <w:pPr>
      <w:numPr>
        <w:numId w:val="6"/>
      </w:numPr>
    </w:pPr>
  </w:style>
  <w:style w:type="paragraph" w:styleId="ListNumber5">
    <w:name w:val="List Number 5"/>
    <w:basedOn w:val="List5"/>
    <w:rsid w:val="004B1A40"/>
    <w:pPr>
      <w:numPr>
        <w:numId w:val="7"/>
      </w:numPr>
    </w:pPr>
  </w:style>
  <w:style w:type="paragraph" w:styleId="BlockText">
    <w:name w:val="Block Text"/>
    <w:basedOn w:val="Normal"/>
    <w:rsid w:val="004B1A40"/>
    <w:pPr>
      <w:spacing w:after="120"/>
      <w:ind w:left="1440" w:right="1440"/>
    </w:pPr>
  </w:style>
  <w:style w:type="character" w:customStyle="1" w:styleId="Subscript">
    <w:name w:val="Subscript"/>
    <w:basedOn w:val="DefaultParagraphFont"/>
    <w:rsid w:val="004B1A40"/>
    <w:rPr>
      <w:sz w:val="16"/>
      <w:vertAlign w:val="subscript"/>
    </w:rPr>
  </w:style>
  <w:style w:type="character" w:customStyle="1" w:styleId="Superscript">
    <w:name w:val="Superscript"/>
    <w:basedOn w:val="DefaultParagraphFont"/>
    <w:rsid w:val="004B1A40"/>
    <w:rPr>
      <w:sz w:val="16"/>
      <w:vertAlign w:val="superscript"/>
    </w:rPr>
  </w:style>
  <w:style w:type="character" w:customStyle="1" w:styleId="Symbols">
    <w:name w:val="Symbols"/>
    <w:basedOn w:val="DefaultParagraphFont"/>
    <w:rsid w:val="004B1A40"/>
    <w:rPr>
      <w:rFonts w:ascii="Symbol" w:hAnsi="Symbol"/>
    </w:rPr>
  </w:style>
  <w:style w:type="character" w:customStyle="1" w:styleId="MenuOptions">
    <w:name w:val="Menu Options"/>
    <w:basedOn w:val="DefaultParagraphFont"/>
    <w:rsid w:val="004B1A40"/>
    <w:rPr>
      <w:rFonts w:ascii="Arial Narrow" w:hAnsi="Arial Narrow"/>
      <w:smallCaps/>
    </w:rPr>
  </w:style>
  <w:style w:type="character" w:customStyle="1" w:styleId="Buttons">
    <w:name w:val="Buttons"/>
    <w:basedOn w:val="DefaultParagraphFont"/>
    <w:rsid w:val="004B1A40"/>
    <w:rPr>
      <w:b/>
    </w:rPr>
  </w:style>
  <w:style w:type="character" w:customStyle="1" w:styleId="Underlined">
    <w:name w:val="Underlined"/>
    <w:basedOn w:val="DefaultParagraphFont"/>
    <w:rsid w:val="004B1A40"/>
    <w:rPr>
      <w:u w:val="single"/>
    </w:rPr>
  </w:style>
  <w:style w:type="paragraph" w:customStyle="1" w:styleId="TableBodyTextRight">
    <w:name w:val="Table Body Text Right"/>
    <w:basedOn w:val="TableBodyText"/>
    <w:rsid w:val="004B1A40"/>
    <w:pPr>
      <w:widowControl w:val="0"/>
      <w:autoSpaceDE w:val="0"/>
      <w:autoSpaceDN w:val="0"/>
      <w:adjustRightInd w:val="0"/>
      <w:jc w:val="right"/>
    </w:pPr>
    <w:rPr>
      <w:rFonts w:cs="Arial"/>
      <w:szCs w:val="18"/>
    </w:rPr>
  </w:style>
  <w:style w:type="paragraph" w:customStyle="1" w:styleId="CopyrightText">
    <w:name w:val="Copyright Text"/>
    <w:basedOn w:val="BodyText"/>
    <w:rsid w:val="004B1A40"/>
    <w:rPr>
      <w:sz w:val="18"/>
    </w:rPr>
  </w:style>
  <w:style w:type="paragraph" w:customStyle="1" w:styleId="BodySmallRight">
    <w:name w:val="Body Small Right"/>
    <w:basedOn w:val="BodyTextRight"/>
    <w:rsid w:val="004B1A40"/>
    <w:rPr>
      <w:sz w:val="18"/>
      <w:szCs w:val="18"/>
    </w:rPr>
  </w:style>
  <w:style w:type="paragraph" w:customStyle="1" w:styleId="MarginEdition">
    <w:name w:val="Margin Edition"/>
    <w:basedOn w:val="MarginNote"/>
    <w:rsid w:val="004B1A40"/>
    <w:pPr>
      <w:spacing w:before="0" w:after="0"/>
    </w:pPr>
    <w:rPr>
      <w:rFonts w:ascii="Times New Roman" w:hAnsi="Times New Roman"/>
      <w:color w:val="999999"/>
    </w:rPr>
  </w:style>
  <w:style w:type="paragraph" w:customStyle="1" w:styleId="Spacer">
    <w:name w:val="Spacer"/>
    <w:basedOn w:val="Normal"/>
    <w:rsid w:val="004B1A40"/>
    <w:rPr>
      <w:sz w:val="2"/>
      <w:szCs w:val="2"/>
    </w:rPr>
  </w:style>
  <w:style w:type="character" w:customStyle="1" w:styleId="Small">
    <w:name w:val="Small"/>
    <w:basedOn w:val="DefaultParagraphFont"/>
    <w:rsid w:val="004B1A40"/>
    <w:rPr>
      <w:sz w:val="16"/>
    </w:rPr>
  </w:style>
  <w:style w:type="paragraph" w:customStyle="1" w:styleId="WideTable">
    <w:name w:val="Wide Table"/>
    <w:basedOn w:val="Normal"/>
    <w:rsid w:val="004B1A40"/>
    <w:pPr>
      <w:ind w:left="-1418"/>
    </w:pPr>
    <w:rPr>
      <w:sz w:val="2"/>
      <w:szCs w:val="2"/>
    </w:rPr>
  </w:style>
  <w:style w:type="character" w:styleId="PageNumber">
    <w:name w:val="page number"/>
    <w:basedOn w:val="DefaultParagraphFont"/>
    <w:rsid w:val="004B1A40"/>
  </w:style>
  <w:style w:type="paragraph" w:styleId="Quote">
    <w:name w:val="Quote"/>
    <w:basedOn w:val="Heading1"/>
    <w:link w:val="QuoteChar"/>
    <w:qFormat/>
    <w:rsid w:val="004B1A40"/>
    <w:rPr>
      <w:b w:val="0"/>
      <w:sz w:val="72"/>
      <w:szCs w:val="72"/>
      <w:lang w:val="en-NZ"/>
    </w:rPr>
  </w:style>
  <w:style w:type="character" w:customStyle="1" w:styleId="QuoteChar">
    <w:name w:val="Quote Char"/>
    <w:basedOn w:val="DefaultParagraphFont"/>
    <w:link w:val="Quote"/>
    <w:rsid w:val="004B1A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1A40"/>
    <w:pPr>
      <w:pageBreakBefore/>
    </w:pPr>
  </w:style>
  <w:style w:type="paragraph" w:customStyle="1" w:styleId="Border">
    <w:name w:val="Border"/>
    <w:basedOn w:val="Normal"/>
    <w:qFormat/>
    <w:rsid w:val="004B1A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1A40"/>
    <w:rPr>
      <w:b/>
      <w:bCs/>
      <w:i/>
      <w:iCs/>
      <w:color w:val="auto"/>
    </w:rPr>
  </w:style>
  <w:style w:type="paragraph" w:styleId="IntenseQuote">
    <w:name w:val="Intense Quote"/>
    <w:basedOn w:val="Normal"/>
    <w:next w:val="Normal"/>
    <w:link w:val="IntenseQuoteChar"/>
    <w:uiPriority w:val="30"/>
    <w:qFormat/>
    <w:rsid w:val="004B1A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1A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1A40"/>
    <w:rPr>
      <w:smallCaps/>
      <w:color w:val="auto"/>
      <w:u w:val="single"/>
    </w:rPr>
  </w:style>
  <w:style w:type="character" w:styleId="IntenseReference">
    <w:name w:val="Intense Reference"/>
    <w:basedOn w:val="DefaultParagraphFont"/>
    <w:uiPriority w:val="32"/>
    <w:qFormat/>
    <w:rsid w:val="004B1A40"/>
    <w:rPr>
      <w:b/>
      <w:bCs/>
      <w:smallCaps/>
      <w:color w:val="auto"/>
      <w:spacing w:val="5"/>
      <w:u w:val="single"/>
    </w:rPr>
  </w:style>
  <w:style w:type="paragraph" w:customStyle="1" w:styleId="2ColumnHeading">
    <w:name w:val="2Column Heading"/>
    <w:basedOn w:val="BodyText"/>
    <w:qFormat/>
    <w:rsid w:val="004B1A40"/>
    <w:pPr>
      <w:spacing w:after="60"/>
      <w:ind w:left="-2268"/>
    </w:pPr>
    <w:rPr>
      <w:b/>
    </w:rPr>
  </w:style>
  <w:style w:type="paragraph" w:customStyle="1" w:styleId="Heading1TOC">
    <w:name w:val="Heading1 TOC"/>
    <w:basedOn w:val="Normal"/>
    <w:qFormat/>
    <w:rsid w:val="004B1A40"/>
    <w:pPr>
      <w:spacing w:before="240" w:after="120"/>
    </w:pPr>
    <w:rPr>
      <w:rFonts w:ascii="Times New Roman" w:hAnsi="Times New Roman"/>
      <w:b/>
      <w:sz w:val="32"/>
    </w:rPr>
  </w:style>
  <w:style w:type="paragraph" w:customStyle="1" w:styleId="Heading2TOC">
    <w:name w:val="Heading2 TOC"/>
    <w:basedOn w:val="Normal"/>
    <w:qFormat/>
    <w:rsid w:val="004B1A40"/>
    <w:pPr>
      <w:spacing w:before="240" w:after="60"/>
    </w:pPr>
    <w:rPr>
      <w:rFonts w:ascii="Times New Roman" w:hAnsi="Times New Roman"/>
      <w:b/>
      <w:sz w:val="28"/>
    </w:rPr>
  </w:style>
  <w:style w:type="character" w:customStyle="1" w:styleId="Underline">
    <w:name w:val="Underline"/>
    <w:basedOn w:val="DefaultParagraphFont"/>
    <w:qFormat/>
    <w:rsid w:val="004B1A40"/>
    <w:rPr>
      <w:u w:val="single"/>
    </w:rPr>
  </w:style>
  <w:style w:type="character" w:customStyle="1" w:styleId="BoldandItalics">
    <w:name w:val="Bold and Italics"/>
    <w:qFormat/>
    <w:rsid w:val="004B1A40"/>
    <w:rPr>
      <w:b/>
      <w:i/>
      <w:u w:val="none"/>
    </w:rPr>
  </w:style>
  <w:style w:type="paragraph" w:styleId="BalloonText">
    <w:name w:val="Balloon Text"/>
    <w:basedOn w:val="Normal"/>
    <w:link w:val="BalloonTextChar"/>
    <w:rsid w:val="004B1A40"/>
    <w:rPr>
      <w:rFonts w:ascii="Tahoma" w:hAnsi="Tahoma" w:cs="Tahoma"/>
      <w:sz w:val="16"/>
      <w:szCs w:val="16"/>
    </w:rPr>
  </w:style>
  <w:style w:type="character" w:customStyle="1" w:styleId="BalloonTextChar">
    <w:name w:val="Balloon Text Char"/>
    <w:basedOn w:val="DefaultParagraphFont"/>
    <w:link w:val="BalloonText"/>
    <w:rsid w:val="004B1A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1A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1A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1A40"/>
    <w:rPr>
      <w:b/>
      <w:color w:val="660033"/>
      <w:spacing w:val="0"/>
    </w:rPr>
  </w:style>
  <w:style w:type="paragraph" w:customStyle="1" w:styleId="Nameditemlist">
    <w:name w:val="Named item list"/>
    <w:basedOn w:val="BodyText"/>
    <w:qFormat/>
    <w:rsid w:val="004B1A40"/>
    <w:pPr>
      <w:tabs>
        <w:tab w:val="left" w:pos="2835"/>
      </w:tabs>
      <w:ind w:left="2835" w:hanging="2835"/>
    </w:pPr>
  </w:style>
  <w:style w:type="paragraph" w:customStyle="1" w:styleId="BodyTextnopadding">
    <w:name w:val="Body Text no padding"/>
    <w:basedOn w:val="BodyText"/>
    <w:qFormat/>
    <w:rsid w:val="004B1A40"/>
    <w:pPr>
      <w:spacing w:before="0" w:after="0"/>
    </w:pPr>
  </w:style>
  <w:style w:type="paragraph" w:customStyle="1" w:styleId="BodyTextBold">
    <w:name w:val="Body Text Bold"/>
    <w:basedOn w:val="BodyText"/>
    <w:qFormat/>
    <w:rsid w:val="004B1A40"/>
    <w:rPr>
      <w:b/>
    </w:rPr>
  </w:style>
  <w:style w:type="character" w:styleId="Hyperlink">
    <w:name w:val="Hyperlink"/>
    <w:basedOn w:val="DefaultParagraphFont"/>
    <w:uiPriority w:val="99"/>
    <w:unhideWhenUsed/>
    <w:rsid w:val="00C365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610</Words>
  <Characters>4104</Characters>
  <Application>Microsoft Office Word</Application>
  <DocSecurity>0</DocSecurity>
  <Lines>128</Lines>
  <Paragraphs>112</Paragraphs>
  <ScaleCrop>false</ScaleCrop>
  <Company>Author-it Software Corporation Ltd.</Company>
  <LinksUpToDate>false</LinksUpToDate>
  <CharactersWithSpaces>4602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HLTOPD003 Dispense atypical prescriptions</dc:title>
  <dc:subject>Approved</dc:subject>
  <dc:creator>SkillsIQ</dc:creator>
  <cp:keywords>Release: 1</cp:keywords>
  <dc:description>Review Date: 12 April 2008</dc:description>
  <cp:lastModifiedBy>HSD_TPCMSd.prod</cp:lastModifiedBy>
  <cp:revision>3</cp:revision>
  <dcterms:created xsi:type="dcterms:W3CDTF">2023-07-02T01:19:00Z</dcterms:created>
  <dcterms:modified xsi:type="dcterms:W3CDTF">2023-07-02T01:19:00Z</dcterms:modified>
</cp:coreProperties>
</file>