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F3E" w:rsidP="00282F3E">
      <w:pPr>
        <w:pStyle w:val="Title"/>
      </w:pPr>
      <w:r>
        <w:fldChar w:fldCharType="begin"/>
      </w:r>
      <w:r>
        <w:instrText xml:space="preserve"> TITLE   \* MERGEFORMAT </w:instrText>
      </w:r>
      <w:r>
        <w:fldChar w:fldCharType="separate"/>
      </w:r>
      <w:r>
        <w:t>HLTOPD002 Dispense optical appliances</w:t>
      </w:r>
      <w:r>
        <w:fldChar w:fldCharType="end"/>
      </w:r>
    </w:p>
    <w:p w:rsidR="00282F3E" w:rsidP="00282F3E">
      <w:pPr>
        <w:pStyle w:val="Version"/>
        <w:sectPr w:rsidSect="00EB33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3E0" w:rsidP="00EB33E0">
      <w:pPr>
        <w:pStyle w:val="SuperHeading"/>
      </w:pPr>
      <w:r w:rsidRPr="00EB33E0">
        <w:t>HLTOPD002 Dispense optical appliances</w:t>
      </w:r>
    </w:p>
    <w:p w:rsidR="00000000" w:rsidRPr="00EB33E0" w:rsidP="00EB33E0">
      <w:pPr>
        <w:pStyle w:val="Heading1"/>
      </w:pPr>
      <w:bookmarkStart w:id="1" w:name="O_656947"/>
      <w:bookmarkEnd w:id="1"/>
      <w:r w:rsidRPr="00EB33E0">
        <w:t>Modification History</w:t>
      </w:r>
    </w:p>
    <w:tbl>
      <w:tblPr>
        <w:tblW w:w="0" w:type="auto"/>
        <w:tblLayout w:type="fixed"/>
        <w:tblCellMar>
          <w:left w:w="62" w:type="dxa"/>
          <w:right w:w="62" w:type="dxa"/>
        </w:tblCellMar>
        <w:tblLook w:val="0000"/>
      </w:tblPr>
      <w:tblGrid>
        <w:gridCol w:w="2790"/>
        <w:gridCol w:w="6344"/>
      </w:tblGrid>
      <w:tr w:rsidTr="00EB33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3E0" w:rsidP="00EB33E0">
            <w:pPr>
              <w:pStyle w:val="BodyText"/>
            </w:pPr>
            <w:r w:rsidRPr="00EB33E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3E0">
            <w:pPr>
              <w:pStyle w:val="BodyText"/>
              <w:rPr>
                <w:lang w:val="en-NZ"/>
              </w:rPr>
            </w:pPr>
            <w:r w:rsidRPr="00EB33E0">
              <w:rPr>
                <w:rStyle w:val="SpecialBold"/>
              </w:rPr>
              <w:t>Comments</w:t>
            </w:r>
          </w:p>
        </w:tc>
      </w:tr>
      <w:tr w:rsidTr="00EB33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3E0">
            <w:pPr>
              <w:pStyle w:val="BodyText"/>
              <w:rPr>
                <w:lang w:val="en-NZ"/>
              </w:rPr>
            </w:pPr>
            <w:r w:rsidRPr="00EB33E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3E0" w:rsidP="00EB33E0">
            <w:pPr>
              <w:pStyle w:val="BodyText"/>
            </w:pPr>
            <w:r w:rsidRPr="00EB33E0">
              <w:t xml:space="preserve">This version was released in </w:t>
            </w:r>
            <w:r w:rsidRPr="00EB33E0">
              <w:rPr>
                <w:rStyle w:val="Emphasis"/>
              </w:rPr>
              <w:t>HLT Health Training Package release 2.0</w:t>
            </w:r>
            <w:r w:rsidRPr="00EB33E0">
              <w:t xml:space="preserve"> and meets the requirements of the 2012 Standards for Training Packages.</w:t>
            </w:r>
          </w:p>
          <w:p w:rsidR="00000000" w:rsidRPr="00EB33E0" w:rsidP="00EB33E0">
            <w:pPr>
              <w:pStyle w:val="BodyText"/>
            </w:pPr>
            <w:r w:rsidRPr="00EB33E0">
              <w:t>New unit - incorporates content from HLTOPD403C.</w:t>
            </w:r>
          </w:p>
        </w:tc>
      </w:tr>
    </w:tbl>
    <w:p w:rsidR="00282F3E" w:rsidP="00EB33E0">
      <w:pPr>
        <w:pStyle w:val="BodyText"/>
      </w:pPr>
    </w:p>
    <w:p w:rsidR="00282F3E" w:rsidP="00EB33E0">
      <w:pPr>
        <w:pStyle w:val="BodyText"/>
      </w:pPr>
    </w:p>
    <w:p w:rsidR="00000000" w:rsidRPr="00EB33E0" w:rsidP="00EB33E0">
      <w:pPr>
        <w:pStyle w:val="Heading1"/>
      </w:pPr>
      <w:bookmarkStart w:id="2" w:name="O_656948"/>
      <w:bookmarkEnd w:id="2"/>
      <w:r w:rsidRPr="00EB33E0">
        <w:t>Application</w:t>
      </w:r>
    </w:p>
    <w:p w:rsidR="00000000" w:rsidRPr="00EB33E0" w:rsidP="00282F3E">
      <w:pPr>
        <w:pStyle w:val="BodyText"/>
      </w:pPr>
      <w:r w:rsidRPr="00EB33E0">
        <w:t xml:space="preserve">This unit describes the skills and knowledge required to use specialised optical knowledge to confirm and check appliance selection, fit appliances and follow procedures to complete the dispensing process. </w:t>
      </w:r>
    </w:p>
    <w:p w:rsidR="00000000" w:rsidRPr="00EB33E0" w:rsidP="00282F3E">
      <w:pPr>
        <w:pStyle w:val="BodyText"/>
      </w:pPr>
      <w:r w:rsidRPr="00EB33E0">
        <w:t>This unit applies to optical dis</w:t>
      </w:r>
      <w:r w:rsidRPr="00EB33E0">
        <w:t>pensers who work according to prescriptions provided by optometrists or ophthalmologists.</w:t>
      </w:r>
    </w:p>
    <w:p w:rsidR="00282F3E" w:rsidRPr="00282F3E" w:rsidP="00282F3E">
      <w:pPr>
        <w:pStyle w:val="BodyText"/>
        <w:rPr>
          <w:i/>
        </w:rPr>
      </w:pPr>
      <w:r w:rsidRPr="00282F3E">
        <w:rPr>
          <w:rStyle w:val="Emphasis"/>
        </w:rPr>
        <w:t>The skills in this unit must be applied in accordance with Commonwealth and State/Territory legislation, Australian/New Zealand standards and industry codes of pract</w:t>
      </w:r>
      <w:r w:rsidRPr="00282F3E">
        <w:rPr>
          <w:rStyle w:val="Emphasis"/>
        </w:rPr>
        <w:t>ice.</w:t>
      </w:r>
    </w:p>
    <w:p w:rsidR="00000000" w:rsidRPr="00EB33E0" w:rsidP="00EB33E0">
      <w:pPr>
        <w:pStyle w:val="Heading1"/>
      </w:pPr>
      <w:bookmarkStart w:id="3" w:name="O_656952"/>
      <w:bookmarkEnd w:id="3"/>
      <w:r w:rsidRPr="00EB33E0">
        <w:t>Elements and Performance Criteria</w:t>
      </w:r>
    </w:p>
    <w:tbl>
      <w:tblPr>
        <w:tblW w:w="0" w:type="auto"/>
        <w:tblLayout w:type="fixed"/>
        <w:tblCellMar>
          <w:left w:w="62" w:type="dxa"/>
          <w:right w:w="62" w:type="dxa"/>
        </w:tblCellMar>
        <w:tblLook w:val="0000"/>
      </w:tblPr>
      <w:tblGrid>
        <w:gridCol w:w="3261"/>
        <w:gridCol w:w="5702"/>
      </w:tblGrid>
      <w:tr w:rsidTr="00EB33E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B33E0" w:rsidP="00EB33E0">
            <w:pPr>
              <w:pStyle w:val="BodyText"/>
            </w:pPr>
            <w:r w:rsidRPr="00EB33E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B33E0">
            <w:pPr>
              <w:pStyle w:val="BodyText"/>
              <w:rPr>
                <w:lang w:val="en-NZ"/>
              </w:rPr>
            </w:pPr>
            <w:r w:rsidRPr="00EB33E0">
              <w:rPr>
                <w:rStyle w:val="SpecialBold"/>
              </w:rPr>
              <w:t>PERFORMANCE CRITERIA</w:t>
            </w:r>
          </w:p>
        </w:tc>
      </w:tr>
      <w:tr w:rsidTr="00EB33E0">
        <w:tblPrEx>
          <w:tblW w:w="0" w:type="auto"/>
          <w:tblLayout w:type="fixed"/>
          <w:tblCellMar>
            <w:left w:w="62" w:type="dxa"/>
            <w:right w:w="62" w:type="dxa"/>
          </w:tblCellMar>
          <w:tblLook w:val="0000"/>
        </w:tblPrEx>
        <w:trPr>
          <w:trHeight w:val="722"/>
          <w:tblHeader/>
        </w:trPr>
        <w:tc>
          <w:tcPr>
            <w:tcW w:w="3261" w:type="dxa"/>
            <w:tcBorders>
              <w:top w:val="nil"/>
              <w:left w:val="nil"/>
              <w:bottom w:val="nil"/>
              <w:right w:val="nil"/>
            </w:tcBorders>
            <w:tcMar>
              <w:top w:w="0" w:type="dxa"/>
              <w:left w:w="62" w:type="dxa"/>
              <w:bottom w:w="0" w:type="dxa"/>
              <w:right w:w="62" w:type="dxa"/>
            </w:tcMar>
          </w:tcPr>
          <w:p w:rsidR="00000000" w:rsidRPr="00EB33E0" w:rsidP="00EB33E0">
            <w:pPr>
              <w:pStyle w:val="BodyText"/>
            </w:pPr>
            <w:r w:rsidRPr="00EB33E0">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B33E0">
            <w:pPr>
              <w:pStyle w:val="BodyText"/>
              <w:rPr>
                <w:lang w:val="en-NZ"/>
              </w:rPr>
            </w:pPr>
            <w:r w:rsidRPr="00EB33E0">
              <w:rPr>
                <w:rStyle w:val="Emphasis"/>
              </w:rPr>
              <w:t>Performance criteria describe the performance needed to demonstrate achievement of the element.</w:t>
            </w:r>
          </w:p>
        </w:tc>
      </w:tr>
      <w:tr w:rsidTr="00EB33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33E0">
            <w:pPr>
              <w:pStyle w:val="BodyText"/>
              <w:rPr>
                <w:lang w:val="en-NZ"/>
              </w:rPr>
            </w:pPr>
          </w:p>
        </w:tc>
      </w:tr>
      <w:tr w:rsidTr="00EB33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B33E0" w:rsidP="00EB33E0">
            <w:pPr>
              <w:pStyle w:val="BodyText"/>
            </w:pPr>
            <w:r w:rsidRPr="00EB33E0">
              <w:t xml:space="preserve">1. Confirm appliance selection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B33E0" w:rsidP="00EB33E0">
            <w:pPr>
              <w:pStyle w:val="BodyText"/>
            </w:pPr>
            <w:r w:rsidRPr="00EB33E0">
              <w:t>1.1 Check appliance selection against prescription details or customer record</w:t>
            </w:r>
          </w:p>
          <w:p w:rsidR="00000000" w:rsidRPr="00EB33E0" w:rsidP="00EB33E0">
            <w:pPr>
              <w:pStyle w:val="BodyText"/>
            </w:pPr>
            <w:r w:rsidRPr="00EB33E0">
              <w:t xml:space="preserve">1.2 Confirm selection with client </w:t>
            </w:r>
          </w:p>
          <w:p w:rsidR="00000000" w:rsidP="00EB33E0">
            <w:pPr>
              <w:pStyle w:val="BodyText"/>
              <w:rPr>
                <w:lang w:val="en-NZ"/>
              </w:rPr>
            </w:pPr>
            <w:r w:rsidRPr="00EB33E0">
              <w:t>1.3 Gain consent from client for fitting where applicable</w:t>
            </w:r>
          </w:p>
        </w:tc>
      </w:tr>
      <w:tr w:rsidTr="00EB33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33E0">
            <w:pPr>
              <w:pStyle w:val="BodyText"/>
              <w:rPr>
                <w:lang w:val="en-NZ"/>
              </w:rPr>
            </w:pPr>
          </w:p>
        </w:tc>
      </w:tr>
      <w:tr w:rsidTr="00EB33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B33E0" w:rsidP="00EB33E0">
            <w:pPr>
              <w:pStyle w:val="BodyText"/>
            </w:pPr>
            <w:r w:rsidRPr="00EB33E0">
              <w:t xml:space="preserve">2. Fit optical appliances </w:t>
            </w:r>
          </w:p>
          <w:p w:rsidR="00000000" w:rsidRPr="00EB33E0" w:rsidP="00EB33E0">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B33E0" w:rsidP="00EB33E0">
            <w:pPr>
              <w:pStyle w:val="BodyText"/>
            </w:pPr>
            <w:r w:rsidRPr="00EB33E0">
              <w:t>2.1 Organise</w:t>
            </w:r>
            <w:r w:rsidRPr="00EB33E0">
              <w:t xml:space="preserve"> required fitting equipment and materials</w:t>
            </w:r>
          </w:p>
          <w:p w:rsidR="00000000" w:rsidRPr="00EB33E0" w:rsidP="00EB33E0">
            <w:pPr>
              <w:pStyle w:val="BodyText"/>
            </w:pPr>
            <w:r w:rsidRPr="00EB33E0">
              <w:t>2.2 Correctly interpret technical aspects of customer requirements from records</w:t>
            </w:r>
          </w:p>
          <w:p w:rsidR="00000000" w:rsidRPr="00EB33E0" w:rsidP="00EB33E0">
            <w:pPr>
              <w:pStyle w:val="BodyText"/>
            </w:pPr>
            <w:r w:rsidRPr="00EB33E0">
              <w:t>2.3 Follow standard fitting procedures and take account of special client needs</w:t>
            </w:r>
          </w:p>
          <w:p w:rsidR="00000000" w:rsidRPr="00EB33E0" w:rsidP="00EB33E0">
            <w:pPr>
              <w:pStyle w:val="BodyText"/>
            </w:pPr>
            <w:r w:rsidRPr="00EB33E0">
              <w:t>2.4 Adjust frames to client to optimise visual perform</w:t>
            </w:r>
            <w:r w:rsidRPr="00EB33E0">
              <w:t>ance</w:t>
            </w:r>
          </w:p>
          <w:p w:rsidR="00000000" w:rsidRPr="00EB33E0" w:rsidP="00EB33E0">
            <w:pPr>
              <w:pStyle w:val="BodyText"/>
            </w:pPr>
            <w:r w:rsidRPr="00EB33E0">
              <w:t>2.5 Ensure optical appliances meet hygiene standards</w:t>
            </w:r>
          </w:p>
          <w:p w:rsidR="00000000" w:rsidP="00EB33E0">
            <w:pPr>
              <w:pStyle w:val="BodyText"/>
              <w:rPr>
                <w:lang w:val="en-NZ"/>
              </w:rPr>
            </w:pPr>
            <w:r w:rsidRPr="00EB33E0">
              <w:t>2.6 Give the client the opportunity to voice concerns in relation to optical appliance and make appropriate response</w:t>
            </w:r>
          </w:p>
        </w:tc>
      </w:tr>
      <w:tr w:rsidTr="00EB33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33E0">
            <w:pPr>
              <w:pStyle w:val="BodyText"/>
              <w:rPr>
                <w:lang w:val="en-NZ"/>
              </w:rPr>
            </w:pPr>
          </w:p>
        </w:tc>
      </w:tr>
      <w:tr w:rsidTr="00EB33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B33E0" w:rsidP="00EB33E0">
            <w:pPr>
              <w:pStyle w:val="BodyText"/>
            </w:pPr>
            <w:r w:rsidRPr="00EB33E0">
              <w:t>3. Instruct client on wear and care</w:t>
            </w:r>
          </w:p>
          <w:p w:rsidR="00000000" w:rsidRPr="00EB33E0" w:rsidP="00EB33E0">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B33E0" w:rsidP="00EB33E0">
            <w:pPr>
              <w:pStyle w:val="BodyText"/>
            </w:pPr>
            <w:r w:rsidRPr="00EB33E0">
              <w:t>3.1 Provide client with details about how to wear the appliance</w:t>
            </w:r>
          </w:p>
          <w:p w:rsidR="00000000" w:rsidP="00EB33E0">
            <w:pPr>
              <w:pStyle w:val="BodyText"/>
              <w:rPr>
                <w:lang w:val="en-NZ"/>
              </w:rPr>
            </w:pPr>
            <w:r w:rsidRPr="00EB33E0">
              <w:t xml:space="preserve">3.2 Offer information about appliance care routines </w:t>
            </w:r>
          </w:p>
        </w:tc>
      </w:tr>
      <w:tr w:rsidTr="00EB33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33E0">
            <w:pPr>
              <w:pStyle w:val="BodyText"/>
              <w:rPr>
                <w:lang w:val="en-NZ"/>
              </w:rPr>
            </w:pPr>
          </w:p>
        </w:tc>
      </w:tr>
      <w:tr w:rsidTr="00EB33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B33E0">
            <w:pPr>
              <w:pStyle w:val="BodyText"/>
              <w:rPr>
                <w:lang w:val="en-NZ"/>
              </w:rPr>
            </w:pPr>
            <w:r w:rsidRPr="00EB33E0">
              <w:t>4.  Finalise dispensing process</w:t>
            </w:r>
          </w:p>
        </w:tc>
        <w:tc>
          <w:tcPr>
            <w:tcW w:w="5702" w:type="dxa"/>
            <w:tcBorders>
              <w:top w:val="nil"/>
              <w:left w:val="nil"/>
              <w:bottom w:val="nil"/>
              <w:right w:val="nil"/>
            </w:tcBorders>
            <w:tcMar>
              <w:top w:w="0" w:type="dxa"/>
              <w:left w:w="62" w:type="dxa"/>
              <w:bottom w:w="0" w:type="dxa"/>
              <w:right w:w="62" w:type="dxa"/>
            </w:tcMar>
          </w:tcPr>
          <w:p w:rsidR="00000000" w:rsidRPr="00EB33E0" w:rsidP="00EB33E0">
            <w:pPr>
              <w:pStyle w:val="BodyText"/>
            </w:pPr>
            <w:r w:rsidRPr="00EB33E0">
              <w:t>4.1 Complete financial transactions in accordance with relevant policies and procedures</w:t>
            </w:r>
          </w:p>
          <w:p w:rsidR="00000000" w:rsidRPr="00EB33E0" w:rsidP="00EB33E0">
            <w:pPr>
              <w:pStyle w:val="BodyText"/>
            </w:pPr>
            <w:r w:rsidRPr="00EB33E0">
              <w:t>4.2 Follow corr</w:t>
            </w:r>
            <w:r w:rsidRPr="00EB33E0">
              <w:t xml:space="preserve">ect procedures for client rebates </w:t>
            </w:r>
          </w:p>
          <w:p w:rsidR="00000000" w:rsidRPr="00EB33E0" w:rsidP="00EB33E0">
            <w:pPr>
              <w:pStyle w:val="BodyText"/>
            </w:pPr>
            <w:r w:rsidRPr="00EB33E0">
              <w:t>4.3 Complete and store records in accordance with relevant policies, procedures and confidentiality requirements</w:t>
            </w:r>
          </w:p>
          <w:p w:rsidR="00000000" w:rsidRPr="00EB33E0" w:rsidP="00EB33E0">
            <w:pPr>
              <w:pStyle w:val="BodyText"/>
            </w:pPr>
            <w:r w:rsidRPr="00EB33E0">
              <w:t>4.4 Offer follow up services in accordance with organisation procedures</w:t>
            </w:r>
          </w:p>
        </w:tc>
      </w:tr>
    </w:tbl>
    <w:p w:rsidR="00282F3E" w:rsidP="00EB33E0">
      <w:pPr>
        <w:pStyle w:val="BodyText"/>
      </w:pPr>
    </w:p>
    <w:p w:rsidR="00282F3E" w:rsidP="00EB33E0">
      <w:pPr>
        <w:pStyle w:val="BodyText"/>
      </w:pPr>
    </w:p>
    <w:p w:rsidR="00000000" w:rsidRPr="00EB33E0" w:rsidP="00EB33E0">
      <w:pPr>
        <w:pStyle w:val="Heading1"/>
      </w:pPr>
      <w:bookmarkStart w:id="4" w:name="O_656953"/>
      <w:bookmarkEnd w:id="4"/>
      <w:r w:rsidRPr="00EB33E0">
        <w:t>Foundation Skill</w:t>
      </w:r>
      <w:r w:rsidRPr="00EB33E0">
        <w:t>s</w:t>
      </w:r>
    </w:p>
    <w:tbl>
      <w:tblPr>
        <w:tblW w:w="0" w:type="auto"/>
        <w:tblLayout w:type="fixed"/>
        <w:tblCellMar>
          <w:left w:w="62" w:type="dxa"/>
          <w:right w:w="62" w:type="dxa"/>
        </w:tblCellMar>
        <w:tblLook w:val="0000"/>
      </w:tblPr>
      <w:tblGrid>
        <w:gridCol w:w="8964"/>
      </w:tblGrid>
      <w:tr w:rsidTr="00EB33E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B33E0">
            <w:pPr>
              <w:pStyle w:val="BodyText"/>
              <w:rPr>
                <w:lang w:val="en-NZ"/>
              </w:rPr>
            </w:pPr>
            <w:r w:rsidRPr="00EB33E0">
              <w:rPr>
                <w:rStyle w:val="Emphasis"/>
              </w:rPr>
              <w:t xml:space="preserve">The Foundation Skills describe those required skills (language, literacy, numeracy and employment </w:t>
            </w:r>
            <w:r w:rsidRPr="00EB33E0">
              <w:t xml:space="preserve">skills) that are essential </w:t>
            </w:r>
            <w:r w:rsidRPr="00EB33E0">
              <w:rPr>
                <w:rStyle w:val="Emphasis"/>
              </w:rPr>
              <w:t>to performance.</w:t>
            </w:r>
          </w:p>
        </w:tc>
      </w:tr>
      <w:tr w:rsidTr="00EB33E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B33E0" w:rsidP="00EB33E0">
            <w:pPr>
              <w:pStyle w:val="BodyText"/>
            </w:pPr>
          </w:p>
          <w:p w:rsidR="00000000" w:rsidRPr="00EB33E0" w:rsidP="00EB33E0">
            <w:pPr>
              <w:pStyle w:val="BodyText"/>
            </w:pPr>
            <w:r w:rsidRPr="00EB33E0">
              <w:t>Foundation skills essential to performance are explicit in the performance criteria of this unit of competency.</w:t>
            </w:r>
          </w:p>
        </w:tc>
      </w:tr>
    </w:tbl>
    <w:p w:rsidR="00282F3E" w:rsidP="00EB33E0">
      <w:pPr>
        <w:pStyle w:val="BodyText"/>
      </w:pPr>
    </w:p>
    <w:p w:rsidR="00282F3E" w:rsidP="00EB33E0">
      <w:pPr>
        <w:pStyle w:val="BodyText"/>
      </w:pPr>
    </w:p>
    <w:p w:rsidR="00000000" w:rsidRPr="00EB33E0" w:rsidP="00EB33E0">
      <w:pPr>
        <w:pStyle w:val="Heading1"/>
      </w:pPr>
      <w:bookmarkStart w:id="5" w:name="O_656955"/>
      <w:bookmarkEnd w:id="5"/>
      <w:r w:rsidRPr="00EB33E0">
        <w:t>Unit Mapping Information</w:t>
      </w:r>
    </w:p>
    <w:p w:rsidR="00000000" w:rsidRPr="00EB33E0" w:rsidP="00282F3E">
      <w:pPr>
        <w:pStyle w:val="BodyText"/>
      </w:pPr>
      <w:r w:rsidRPr="00EB33E0">
        <w:t xml:space="preserve">No equivalent unit. </w:t>
      </w:r>
    </w:p>
    <w:p w:rsidR="00000000" w:rsidRPr="00EB33E0" w:rsidP="00EB33E0">
      <w:pPr>
        <w:pStyle w:val="Heading1"/>
      </w:pPr>
      <w:bookmarkStart w:id="6" w:name="O_656962"/>
      <w:bookmarkEnd w:id="6"/>
      <w:r w:rsidRPr="00EB33E0">
        <w:t>Links</w:t>
      </w:r>
    </w:p>
    <w:p w:rsidR="00000000" w:rsidRPr="00EB33E0" w:rsidP="00282F3E">
      <w:pPr>
        <w:pStyle w:val="BodyText"/>
      </w:pPr>
      <w:r w:rsidRPr="00EB33E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44F61">
        <w:rPr>
          <w:rStyle w:val="Hyperlink"/>
        </w:rPr>
        <w:t>https://vetnet.gov.au/Pages/TrainingDocs.aspx?q=ced1390f-48d9-4ab0-bd50-b015e5485705</w:t>
      </w:r>
      <w:r>
        <w:fldChar w:fldCharType="end"/>
      </w:r>
    </w:p>
    <w:p w:rsidR="00000000" w:rsidRPr="00EB33E0" w:rsidP="00282F3E">
      <w:pPr>
        <w:pStyle w:val="BodyText"/>
        <w:sectPr w:rsidSect="00EB33E0">
          <w:headerReference w:type="default" r:id="rId10"/>
          <w:footerReference w:type="default" r:id="rId11"/>
          <w:pgSz w:w="11908" w:h="16833"/>
          <w:pgMar w:top="1702" w:right="1418" w:bottom="1702" w:left="1418" w:header="992" w:footer="992" w:gutter="0"/>
          <w:cols w:space="720"/>
          <w:noEndnote/>
          <w:docGrid w:linePitch="299"/>
        </w:sectPr>
      </w:pPr>
    </w:p>
    <w:p w:rsidR="00000000" w:rsidRPr="00EB33E0" w:rsidP="00EB33E0">
      <w:pPr>
        <w:pStyle w:val="SuperHeading"/>
      </w:pPr>
      <w:r w:rsidRPr="00EB33E0">
        <w:t>Assessment Requirements for HLTOPD002 Dispense optical appliances</w:t>
      </w:r>
    </w:p>
    <w:p w:rsidR="00000000" w:rsidRPr="00EB33E0" w:rsidP="00EB33E0">
      <w:pPr>
        <w:pStyle w:val="Heading1"/>
      </w:pPr>
      <w:bookmarkStart w:id="7" w:name="O_656957"/>
      <w:bookmarkEnd w:id="7"/>
      <w:r w:rsidRPr="00EB33E0">
        <w:t>Modification History</w:t>
      </w:r>
    </w:p>
    <w:tbl>
      <w:tblPr>
        <w:tblW w:w="0" w:type="auto"/>
        <w:tblLayout w:type="fixed"/>
        <w:tblCellMar>
          <w:left w:w="62" w:type="dxa"/>
          <w:right w:w="62" w:type="dxa"/>
        </w:tblCellMar>
        <w:tblLook w:val="0000"/>
      </w:tblPr>
      <w:tblGrid>
        <w:gridCol w:w="2790"/>
        <w:gridCol w:w="6344"/>
      </w:tblGrid>
      <w:tr w:rsidTr="00EB33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3E0" w:rsidP="00EB33E0">
            <w:pPr>
              <w:pStyle w:val="BodyText"/>
            </w:pPr>
            <w:r w:rsidRPr="00EB33E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3E0">
            <w:pPr>
              <w:pStyle w:val="BodyText"/>
              <w:rPr>
                <w:lang w:val="en-NZ"/>
              </w:rPr>
            </w:pPr>
            <w:r w:rsidRPr="00EB33E0">
              <w:rPr>
                <w:rStyle w:val="SpecialBold"/>
              </w:rPr>
              <w:t>Comments</w:t>
            </w:r>
          </w:p>
        </w:tc>
      </w:tr>
      <w:tr w:rsidTr="00EB33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3E0">
            <w:pPr>
              <w:pStyle w:val="BodyText"/>
              <w:rPr>
                <w:lang w:val="en-NZ"/>
              </w:rPr>
            </w:pPr>
            <w:r w:rsidRPr="00EB33E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3E0" w:rsidP="00EB33E0">
            <w:pPr>
              <w:pStyle w:val="BodyText"/>
            </w:pPr>
            <w:r w:rsidRPr="00EB33E0">
              <w:t xml:space="preserve">This version was released in </w:t>
            </w:r>
            <w:r w:rsidRPr="00EB33E0">
              <w:rPr>
                <w:rStyle w:val="Emphasis"/>
              </w:rPr>
              <w:t>HLT Health Training Package release 2.0</w:t>
            </w:r>
            <w:r w:rsidRPr="00EB33E0">
              <w:t xml:space="preserve"> and meets the requirements of the 2012 Standards for Training Packages.</w:t>
            </w:r>
          </w:p>
          <w:p w:rsidR="00000000" w:rsidRPr="00EB33E0" w:rsidP="00EB33E0">
            <w:pPr>
              <w:pStyle w:val="BodyText"/>
            </w:pPr>
            <w:r w:rsidRPr="00EB33E0">
              <w:t>New unit - incorporates content from HLTOPD403C.</w:t>
            </w:r>
          </w:p>
        </w:tc>
      </w:tr>
    </w:tbl>
    <w:p w:rsidR="00282F3E" w:rsidP="00EB33E0">
      <w:pPr>
        <w:pStyle w:val="BodyText"/>
      </w:pPr>
    </w:p>
    <w:p w:rsidR="00282F3E" w:rsidP="00EB33E0">
      <w:pPr>
        <w:pStyle w:val="BodyText"/>
      </w:pPr>
    </w:p>
    <w:p w:rsidR="00000000" w:rsidRPr="00EB33E0" w:rsidP="00EB33E0">
      <w:pPr>
        <w:pStyle w:val="Heading1"/>
      </w:pPr>
      <w:bookmarkStart w:id="8" w:name="O_656958"/>
      <w:bookmarkEnd w:id="8"/>
      <w:r w:rsidRPr="00EB33E0">
        <w:t>Performance Evidence</w:t>
      </w:r>
    </w:p>
    <w:p w:rsidR="00000000" w:rsidRPr="00EB33E0" w:rsidP="00282F3E">
      <w:pPr>
        <w:pStyle w:val="BodyText"/>
      </w:pPr>
      <w:r w:rsidRPr="00EB33E0">
        <w:t>The candidate must show evidence of the ability to complete tasks outlined in elements and performance criteria of this unit, manage tasks and manage contingencies in the context of the job role. There must be evidence that the candidate has:</w:t>
      </w:r>
    </w:p>
    <w:p w:rsidR="00000000" w:rsidRPr="00EB33E0" w:rsidP="00EB33E0">
      <w:pPr>
        <w:pStyle w:val="ListBullet"/>
      </w:pPr>
      <w:r w:rsidRPr="00EB33E0">
        <w:t>performed th</w:t>
      </w:r>
      <w:r w:rsidRPr="00EB33E0">
        <w:t xml:space="preserve">e activities outlined in the performance criteria of this unit during a period of at least 100 hours of direct client contact work </w:t>
      </w:r>
    </w:p>
    <w:p w:rsidR="00000000" w:rsidRPr="00EB33E0" w:rsidP="00EB33E0">
      <w:pPr>
        <w:pStyle w:val="ListBullet"/>
      </w:pPr>
      <w:r w:rsidRPr="00EB33E0">
        <w:t>dispensed optical appliances to at least 5 different clients</w:t>
      </w:r>
    </w:p>
    <w:p w:rsidR="00000000" w:rsidRPr="00EB33E0" w:rsidP="00EB33E0">
      <w:pPr>
        <w:pStyle w:val="AllowPageBreak"/>
      </w:pPr>
    </w:p>
    <w:p w:rsidR="00000000" w:rsidRPr="00EB33E0" w:rsidP="00EB33E0">
      <w:pPr>
        <w:pStyle w:val="Heading1"/>
      </w:pPr>
      <w:bookmarkStart w:id="9" w:name="O_656959"/>
      <w:bookmarkEnd w:id="9"/>
      <w:r w:rsidRPr="00EB33E0">
        <w:t>Knowledge Evidence</w:t>
      </w:r>
    </w:p>
    <w:p w:rsidR="00000000" w:rsidRPr="00EB33E0" w:rsidP="00282F3E">
      <w:pPr>
        <w:pStyle w:val="BodyText"/>
      </w:pPr>
      <w:r w:rsidRPr="00EB33E0">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B33E0">
        <w:t>of:</w:t>
      </w:r>
    </w:p>
    <w:p w:rsidR="00000000" w:rsidRPr="00EB33E0" w:rsidP="00EB33E0">
      <w:pPr>
        <w:pStyle w:val="ListBullet"/>
      </w:pPr>
      <w:r w:rsidRPr="00EB33E0">
        <w:t>legal and ethical considerations for dispensing optical advice to clients:</w:t>
      </w:r>
    </w:p>
    <w:p w:rsidR="00000000" w:rsidRPr="00EB33E0" w:rsidP="00EB33E0">
      <w:pPr>
        <w:pStyle w:val="ListBullet2"/>
      </w:pPr>
      <w:r w:rsidRPr="00EB33E0">
        <w:t xml:space="preserve">duty of care </w:t>
      </w:r>
    </w:p>
    <w:p w:rsidR="00000000" w:rsidRPr="00EB33E0" w:rsidP="00EB33E0">
      <w:pPr>
        <w:pStyle w:val="ListBullet2"/>
      </w:pPr>
      <w:r w:rsidRPr="00EB33E0">
        <w:t xml:space="preserve">informed consent </w:t>
      </w:r>
    </w:p>
    <w:p w:rsidR="00000000" w:rsidRPr="00EB33E0" w:rsidP="00EB33E0">
      <w:pPr>
        <w:pStyle w:val="ListBullet2"/>
      </w:pPr>
      <w:r w:rsidRPr="00EB33E0">
        <w:t>privacy, confidentiality and disclosure</w:t>
      </w:r>
    </w:p>
    <w:p w:rsidR="00000000" w:rsidRPr="00EB33E0" w:rsidP="00EB33E0">
      <w:pPr>
        <w:pStyle w:val="ListBullet2"/>
      </w:pPr>
      <w:r w:rsidRPr="00EB33E0">
        <w:t xml:space="preserve">records management </w:t>
      </w:r>
    </w:p>
    <w:p w:rsidR="00000000" w:rsidRPr="00EB33E0" w:rsidP="00EB33E0">
      <w:pPr>
        <w:pStyle w:val="ListBullet2"/>
      </w:pPr>
      <w:r w:rsidRPr="00EB33E0">
        <w:t>work role boundaries – responsibilities and limitations</w:t>
      </w:r>
    </w:p>
    <w:p w:rsidR="00000000" w:rsidRPr="00EB33E0" w:rsidP="00EB33E0">
      <w:pPr>
        <w:pStyle w:val="ListBullet2"/>
      </w:pPr>
      <w:r w:rsidRPr="00EB33E0">
        <w:t>work health and safety</w:t>
      </w:r>
    </w:p>
    <w:p w:rsidR="00000000" w:rsidRPr="00EB33E0" w:rsidP="00EB33E0">
      <w:pPr>
        <w:pStyle w:val="ListBullet"/>
      </w:pPr>
      <w:r w:rsidRPr="00EB33E0">
        <w:t>how</w:t>
      </w:r>
      <w:r w:rsidRPr="00EB33E0">
        <w:t xml:space="preserve"> to interpret and transpose an optical prescription</w:t>
      </w:r>
    </w:p>
    <w:p w:rsidR="00000000" w:rsidRPr="00EB33E0" w:rsidP="00EB33E0">
      <w:pPr>
        <w:pStyle w:val="ListBullet"/>
      </w:pPr>
      <w:r w:rsidRPr="00EB33E0">
        <w:t>anatomy and physiology of the eyes, including:</w:t>
      </w:r>
    </w:p>
    <w:p w:rsidR="00000000" w:rsidRPr="00EB33E0" w:rsidP="00EB33E0">
      <w:pPr>
        <w:pStyle w:val="ListBullet2"/>
      </w:pPr>
      <w:r w:rsidRPr="00EB33E0">
        <w:t>common disorders of the eye</w:t>
      </w:r>
    </w:p>
    <w:p w:rsidR="00000000" w:rsidRPr="00EB33E0" w:rsidP="00EB33E0">
      <w:pPr>
        <w:pStyle w:val="ListBullet2"/>
      </w:pPr>
      <w:r w:rsidRPr="00EB33E0">
        <w:t>structure of the human eye and its physiological functioning</w:t>
      </w:r>
    </w:p>
    <w:p w:rsidR="00000000" w:rsidRPr="00EB33E0" w:rsidP="00EB33E0">
      <w:pPr>
        <w:pStyle w:val="ListBullet2"/>
      </w:pPr>
      <w:r w:rsidRPr="00EB33E0">
        <w:t>the procedures involved in cataract extraction with intra-ocular lenses, including multifocal and toric IOL and factors that may influence the dispensing process</w:t>
      </w:r>
    </w:p>
    <w:p w:rsidR="00000000" w:rsidRPr="00EB33E0" w:rsidP="00EB33E0">
      <w:pPr>
        <w:pStyle w:val="ListBullet2"/>
      </w:pPr>
      <w:r w:rsidRPr="00EB33E0">
        <w:t>implant and refractive surgery</w:t>
      </w:r>
    </w:p>
    <w:p w:rsidR="00000000" w:rsidRPr="00EB33E0" w:rsidP="00EB33E0">
      <w:pPr>
        <w:pStyle w:val="ListBullet"/>
      </w:pPr>
      <w:r w:rsidRPr="00EB33E0">
        <w:t xml:space="preserve">basic theory of light, including: </w:t>
      </w:r>
    </w:p>
    <w:p w:rsidR="00000000" w:rsidRPr="00EB33E0" w:rsidP="00EB33E0">
      <w:pPr>
        <w:pStyle w:val="ListBullet2"/>
      </w:pPr>
      <w:r w:rsidRPr="00EB33E0">
        <w:t>basic calculation of angle</w:t>
      </w:r>
      <w:r w:rsidRPr="00EB33E0">
        <w:t>s of incidence, refraction, deviation and critical angles</w:t>
      </w:r>
    </w:p>
    <w:p w:rsidR="00000000" w:rsidRPr="00EB33E0" w:rsidP="00EB33E0">
      <w:pPr>
        <w:pStyle w:val="ListBullet2"/>
      </w:pPr>
      <w:r w:rsidRPr="00EB33E0">
        <w:t>how light is propagated and how commonly observed effects may occur</w:t>
      </w:r>
    </w:p>
    <w:p w:rsidR="00000000" w:rsidRPr="00EB33E0" w:rsidP="00EB33E0">
      <w:pPr>
        <w:pStyle w:val="ListBullet2"/>
      </w:pPr>
      <w:r w:rsidRPr="00EB33E0">
        <w:t>various light-induced phenomena</w:t>
      </w:r>
    </w:p>
    <w:p w:rsidR="00000000" w:rsidRPr="00EB33E0" w:rsidP="00EB33E0">
      <w:pPr>
        <w:pStyle w:val="ListBullet"/>
      </w:pPr>
      <w:r w:rsidRPr="00EB33E0">
        <w:t>ophthalmic prism, including:</w:t>
      </w:r>
    </w:p>
    <w:p w:rsidR="00000000" w:rsidRPr="00EB33E0" w:rsidP="00EB33E0">
      <w:pPr>
        <w:pStyle w:val="ListBullet2"/>
      </w:pPr>
      <w:r w:rsidRPr="00EB33E0">
        <w:t>effects of ophthalmic prism upon the eyes, and the need for ophthal</w:t>
      </w:r>
      <w:r w:rsidRPr="00EB33E0">
        <w:t>mic prism in prescriptions</w:t>
      </w:r>
    </w:p>
    <w:p w:rsidR="00000000" w:rsidRPr="00EB33E0" w:rsidP="00EB33E0">
      <w:pPr>
        <w:pStyle w:val="ListBullet2"/>
      </w:pPr>
      <w:r w:rsidRPr="00EB33E0">
        <w:t>solving by both calculation and graphical methods, a variety of prism problems</w:t>
      </w:r>
    </w:p>
    <w:p w:rsidR="00000000" w:rsidRPr="00EB33E0" w:rsidP="00EB33E0">
      <w:pPr>
        <w:pStyle w:val="ListBullet2"/>
      </w:pPr>
      <w:r w:rsidRPr="00EB33E0">
        <w:t>the relationship between lens power, decentration and prism</w:t>
      </w:r>
    </w:p>
    <w:p w:rsidR="00000000" w:rsidRPr="00EB33E0" w:rsidP="00EB33E0">
      <w:pPr>
        <w:pStyle w:val="ListBullet2"/>
      </w:pPr>
      <w:r w:rsidRPr="00EB33E0">
        <w:t>the use of a tangent scale to measure ophthalmic prism</w:t>
      </w:r>
    </w:p>
    <w:p w:rsidR="00000000" w:rsidRPr="00EB33E0" w:rsidP="00EB33E0">
      <w:pPr>
        <w:pStyle w:val="ListBullet2"/>
      </w:pPr>
      <w:r w:rsidRPr="00EB33E0">
        <w:t>effect produced by varying the inde</w:t>
      </w:r>
      <w:r w:rsidRPr="00EB33E0">
        <w:t>x, diameter, prismatic specifications, or form of a lens</w:t>
      </w:r>
    </w:p>
    <w:p w:rsidR="00000000" w:rsidRPr="00EB33E0" w:rsidP="00EB33E0">
      <w:pPr>
        <w:pStyle w:val="ListBullet2"/>
      </w:pPr>
      <w:r w:rsidRPr="00EB33E0">
        <w:t>the processes and assessment of vision, colour vision and perception</w:t>
      </w:r>
    </w:p>
    <w:p w:rsidR="00000000" w:rsidRPr="00EB33E0" w:rsidP="00EB33E0">
      <w:pPr>
        <w:pStyle w:val="ListBullet2"/>
      </w:pPr>
      <w:r w:rsidRPr="00EB33E0">
        <w:t>optical calculations and measurements, including measurements to determine the inter-pupillary distance and fitting heights for all lenses</w:t>
      </w:r>
    </w:p>
    <w:p w:rsidR="00000000" w:rsidRPr="00EB33E0" w:rsidP="00EB33E0">
      <w:pPr>
        <w:pStyle w:val="ListBullet2"/>
      </w:pPr>
      <w:r w:rsidRPr="00EB33E0">
        <w:t>effects produced by varying the index, diameter, prismatic specifications and form of a lens</w:t>
      </w:r>
    </w:p>
    <w:p w:rsidR="00000000" w:rsidRPr="00EB33E0" w:rsidP="00EB33E0">
      <w:pPr>
        <w:pStyle w:val="ListBullet"/>
      </w:pPr>
      <w:r w:rsidRPr="00EB33E0">
        <w:t>features of spherical l</w:t>
      </w:r>
      <w:r w:rsidRPr="00EB33E0">
        <w:t xml:space="preserve">enses and their suitability for different customers, including: </w:t>
      </w:r>
    </w:p>
    <w:p w:rsidR="00000000" w:rsidRPr="00EB33E0" w:rsidP="00EB33E0">
      <w:pPr>
        <w:pStyle w:val="ListBullet2"/>
      </w:pPr>
      <w:r w:rsidRPr="00EB33E0">
        <w:t>concepts of vergence and their use in optical calculations</w:t>
      </w:r>
    </w:p>
    <w:p w:rsidR="00000000" w:rsidRPr="00EB33E0" w:rsidP="00EB33E0">
      <w:pPr>
        <w:pStyle w:val="ListBullet2"/>
      </w:pPr>
      <w:r w:rsidRPr="00EB33E0">
        <w:t>how to construct diagrams to illustrate image formation using simple ray-tracing techniques</w:t>
      </w:r>
    </w:p>
    <w:p w:rsidR="00000000" w:rsidRPr="00EB33E0" w:rsidP="00EB33E0">
      <w:pPr>
        <w:pStyle w:val="ListBullet2"/>
      </w:pPr>
      <w:r w:rsidRPr="00EB33E0">
        <w:t>refractive effects of a lens as the sum</w:t>
      </w:r>
      <w:r w:rsidRPr="00EB33E0">
        <w:t xml:space="preserve"> of its 2 surface powers</w:t>
      </w:r>
    </w:p>
    <w:p w:rsidR="00000000" w:rsidRPr="00EB33E0" w:rsidP="00EB33E0">
      <w:pPr>
        <w:pStyle w:val="ListBullet2"/>
      </w:pPr>
      <w:r w:rsidRPr="00EB33E0">
        <w:t>refractive properties of spherical lens surfaces</w:t>
      </w:r>
    </w:p>
    <w:p w:rsidR="00000000" w:rsidRPr="00EB33E0" w:rsidP="00EB33E0">
      <w:pPr>
        <w:pStyle w:val="ListBullet"/>
      </w:pPr>
      <w:r w:rsidRPr="00EB33E0">
        <w:t xml:space="preserve">features of astigmatic lenses and their suitability for different customers, including: </w:t>
      </w:r>
    </w:p>
    <w:p w:rsidR="00000000" w:rsidRPr="00EB33E0" w:rsidP="00EB33E0">
      <w:pPr>
        <w:pStyle w:val="ListBullet2"/>
      </w:pPr>
      <w:r w:rsidRPr="00EB33E0">
        <w:t>how to perform calculations related to the application of astigmatic lenses in optical pres</w:t>
      </w:r>
      <w:r w:rsidRPr="00EB33E0">
        <w:t>criptions</w:t>
      </w:r>
    </w:p>
    <w:p w:rsidR="00000000" w:rsidRPr="00EB33E0" w:rsidP="00EB33E0">
      <w:pPr>
        <w:pStyle w:val="ListBullet2"/>
      </w:pPr>
      <w:r w:rsidRPr="00EB33E0">
        <w:t>formulae required to calculate the centre and edge thickness of spherical and astigmatic lenses</w:t>
      </w:r>
    </w:p>
    <w:p w:rsidR="00000000" w:rsidRPr="00EB33E0" w:rsidP="00EB33E0">
      <w:pPr>
        <w:pStyle w:val="ListBullet2"/>
      </w:pPr>
      <w:r w:rsidRPr="00EB33E0">
        <w:t>nature of astigmatism</w:t>
      </w:r>
    </w:p>
    <w:p w:rsidR="00000000" w:rsidRPr="00EB33E0" w:rsidP="00EB33E0">
      <w:pPr>
        <w:pStyle w:val="ListBullet2"/>
      </w:pPr>
      <w:r w:rsidRPr="00EB33E0">
        <w:t>the difference between cylindrical and sphero-cylindrical for astigmatic conditions</w:t>
      </w:r>
    </w:p>
    <w:p w:rsidR="00000000" w:rsidRPr="00EB33E0" w:rsidP="00EB33E0">
      <w:pPr>
        <w:pStyle w:val="ListBullet2"/>
      </w:pPr>
      <w:r w:rsidRPr="00EB33E0">
        <w:t>various forms of astigmatic lenses</w:t>
      </w:r>
    </w:p>
    <w:p w:rsidR="00000000" w:rsidRPr="00EB33E0" w:rsidP="00EB33E0">
      <w:pPr>
        <w:pStyle w:val="ListBullet"/>
      </w:pPr>
      <w:r w:rsidRPr="00EB33E0">
        <w:t xml:space="preserve">features of contact lenses and their suitability for different customers, including: </w:t>
      </w:r>
    </w:p>
    <w:p w:rsidR="00000000" w:rsidRPr="00EB33E0" w:rsidP="00EB33E0">
      <w:pPr>
        <w:pStyle w:val="ListBullet2"/>
      </w:pPr>
      <w:r w:rsidRPr="00EB33E0">
        <w:t>acceptable hygiene standards</w:t>
      </w:r>
    </w:p>
    <w:p w:rsidR="00000000" w:rsidRPr="00EB33E0" w:rsidP="00EB33E0">
      <w:pPr>
        <w:pStyle w:val="ListBullet2"/>
      </w:pPr>
      <w:r w:rsidRPr="00EB33E0">
        <w:t>examples of causes of wearing problems and lens hygiene and the correct procedures for lens maintenance</w:t>
      </w:r>
    </w:p>
    <w:p w:rsidR="00000000" w:rsidRPr="00EB33E0" w:rsidP="00EB33E0">
      <w:pPr>
        <w:pStyle w:val="ListBullet2"/>
      </w:pPr>
      <w:r w:rsidRPr="00EB33E0">
        <w:t>relevant Quality Assurance Standards</w:t>
      </w:r>
    </w:p>
    <w:p w:rsidR="00000000" w:rsidRPr="00EB33E0" w:rsidP="00EB33E0">
      <w:pPr>
        <w:pStyle w:val="ListBullet2"/>
      </w:pPr>
      <w:r w:rsidRPr="00EB33E0">
        <w:t>the correct methods of contact lens handling, insertion and removal</w:t>
      </w:r>
    </w:p>
    <w:p w:rsidR="00000000" w:rsidRPr="00EB33E0" w:rsidP="00EB33E0">
      <w:pPr>
        <w:pStyle w:val="ListBullet2"/>
      </w:pPr>
      <w:r w:rsidRPr="00EB33E0">
        <w:t>the parameters of contact lenses from prescription data supplied</w:t>
      </w:r>
    </w:p>
    <w:p w:rsidR="00000000" w:rsidRPr="00EB33E0" w:rsidP="00EB33E0">
      <w:pPr>
        <w:pStyle w:val="ListBullet2"/>
      </w:pPr>
      <w:r w:rsidRPr="00EB33E0">
        <w:t>how lenses are manufactured</w:t>
      </w:r>
    </w:p>
    <w:p w:rsidR="00000000" w:rsidRPr="00EB33E0" w:rsidP="00EB33E0">
      <w:pPr>
        <w:pStyle w:val="ListBullet2"/>
      </w:pPr>
      <w:r w:rsidRPr="00EB33E0">
        <w:t>features and options for multifocal and progressive lenses</w:t>
      </w:r>
    </w:p>
    <w:p w:rsidR="00000000" w:rsidRPr="00EB33E0" w:rsidP="00EB33E0">
      <w:pPr>
        <w:pStyle w:val="ListBullet"/>
      </w:pPr>
      <w:r w:rsidRPr="00EB33E0">
        <w:t>commonly occurring problems and po</w:t>
      </w:r>
      <w:r w:rsidRPr="00EB33E0">
        <w:t xml:space="preserve">tential solutions in a dispensing situation </w:t>
      </w:r>
    </w:p>
    <w:p w:rsidR="00000000" w:rsidRPr="00EB33E0" w:rsidP="00EB33E0">
      <w:pPr>
        <w:pStyle w:val="ListBullet"/>
      </w:pPr>
      <w:r w:rsidRPr="00EB33E0">
        <w:t xml:space="preserve">requirements of dispensing spectacles to clients with special or complex needs, including: </w:t>
      </w:r>
    </w:p>
    <w:p w:rsidR="00000000" w:rsidRPr="00EB33E0" w:rsidP="00EB33E0">
      <w:pPr>
        <w:pStyle w:val="ListBullet2"/>
      </w:pPr>
      <w:r w:rsidRPr="00EB33E0">
        <w:t>commonly occurring problems in a dispensing situation and possible solutions</w:t>
      </w:r>
    </w:p>
    <w:p w:rsidR="00000000" w:rsidRPr="00EB33E0" w:rsidP="00EB33E0">
      <w:pPr>
        <w:pStyle w:val="ListBullet2"/>
      </w:pPr>
      <w:r w:rsidRPr="00EB33E0">
        <w:t>the appropriate action to be taken accord</w:t>
      </w:r>
      <w:r w:rsidRPr="00EB33E0">
        <w:t>ing to prescription requirements and the special needs of the client</w:t>
      </w:r>
    </w:p>
    <w:p w:rsidR="00000000" w:rsidRPr="00EB33E0" w:rsidP="00EB33E0">
      <w:pPr>
        <w:pStyle w:val="ListBullet2"/>
      </w:pPr>
      <w:r w:rsidRPr="00EB33E0">
        <w:t xml:space="preserve">visual screening </w:t>
      </w:r>
    </w:p>
    <w:p w:rsidR="00000000" w:rsidRPr="00EB33E0" w:rsidP="00EB33E0">
      <w:pPr>
        <w:pStyle w:val="ListBullet"/>
      </w:pPr>
      <w:r w:rsidRPr="00EB33E0">
        <w:t>how to determine criteria influencing dispensing procedures necessary for aspheric lenses</w:t>
      </w:r>
    </w:p>
    <w:p w:rsidR="00000000" w:rsidRPr="00EB33E0" w:rsidP="00EB33E0">
      <w:pPr>
        <w:pStyle w:val="ListBullet"/>
      </w:pPr>
      <w:r w:rsidRPr="00EB33E0">
        <w:t>referral protocol and procedures</w:t>
      </w:r>
    </w:p>
    <w:p w:rsidR="00000000" w:rsidRPr="00EB33E0" w:rsidP="00EB33E0">
      <w:pPr>
        <w:pStyle w:val="ListBullet"/>
      </w:pPr>
      <w:r w:rsidRPr="00EB33E0">
        <w:t>health fund and rebate requirements</w:t>
      </w:r>
    </w:p>
    <w:p w:rsidR="00000000" w:rsidRPr="00EB33E0" w:rsidP="00EB33E0">
      <w:pPr>
        <w:pStyle w:val="AllowPageBreak"/>
      </w:pPr>
    </w:p>
    <w:p w:rsidR="00000000" w:rsidRPr="00EB33E0" w:rsidP="00EB33E0">
      <w:pPr>
        <w:pStyle w:val="Heading1"/>
      </w:pPr>
      <w:bookmarkStart w:id="10" w:name="O_656960"/>
      <w:bookmarkEnd w:id="10"/>
      <w:r w:rsidRPr="00EB33E0">
        <w:t>Assessment Conditions</w:t>
      </w:r>
    </w:p>
    <w:p w:rsidR="00000000" w:rsidRPr="00EB33E0" w:rsidP="00282F3E">
      <w:pPr>
        <w:pStyle w:val="BodyText"/>
      </w:pPr>
      <w:r w:rsidRPr="00EB33E0">
        <w:t>Skills must have been demonstrated in the workplace with the addition of simulations and scenarios where the full range of contexts and situations have not been provided in the workplace. The following conditions must be met f</w:t>
      </w:r>
      <w:r w:rsidRPr="00EB33E0">
        <w:t xml:space="preserve">or this unit: </w:t>
      </w:r>
    </w:p>
    <w:p w:rsidR="00000000" w:rsidRPr="00EB33E0" w:rsidP="00EB33E0">
      <w:pPr>
        <w:pStyle w:val="ListBullet"/>
      </w:pPr>
      <w:r w:rsidRPr="00EB33E0">
        <w:t xml:space="preserve">use of suitable facilities, equipment and resources, including: </w:t>
      </w:r>
    </w:p>
    <w:p w:rsidR="00000000" w:rsidRPr="00EB33E0" w:rsidP="00EB33E0">
      <w:pPr>
        <w:pStyle w:val="ListBullet2"/>
      </w:pPr>
      <w:r w:rsidRPr="00EB33E0">
        <w:t>back vertex distance (BVD) gauge or rule</w:t>
      </w:r>
    </w:p>
    <w:p w:rsidR="00000000" w:rsidRPr="00EB33E0" w:rsidP="00EB33E0">
      <w:pPr>
        <w:pStyle w:val="ListBullet2"/>
      </w:pPr>
      <w:r w:rsidRPr="00EB33E0">
        <w:t>frame adjusting tools</w:t>
      </w:r>
    </w:p>
    <w:p w:rsidR="00000000" w:rsidRPr="00EB33E0" w:rsidP="00EB33E0">
      <w:pPr>
        <w:pStyle w:val="ListBullet2"/>
      </w:pPr>
      <w:r w:rsidRPr="00EB33E0">
        <w:t>opticians lens measure</w:t>
      </w:r>
    </w:p>
    <w:p w:rsidR="00000000" w:rsidRPr="00EB33E0" w:rsidP="00EB33E0">
      <w:pPr>
        <w:pStyle w:val="ListBullet2"/>
      </w:pPr>
      <w:r w:rsidRPr="00EB33E0">
        <w:t>thickness callipers</w:t>
      </w:r>
    </w:p>
    <w:p w:rsidR="00000000" w:rsidRPr="00EB33E0" w:rsidP="00EB33E0">
      <w:pPr>
        <w:pStyle w:val="ListBullet2"/>
      </w:pPr>
      <w:r w:rsidRPr="00EB33E0">
        <w:t>parallel rule or equivalent</w:t>
      </w:r>
    </w:p>
    <w:p w:rsidR="00000000" w:rsidRPr="00EB33E0" w:rsidP="00EB33E0">
      <w:pPr>
        <w:pStyle w:val="ListBullet2"/>
      </w:pPr>
      <w:r w:rsidRPr="00EB33E0">
        <w:t>millimetre rule or pupillary distance (PD) rule</w:t>
      </w:r>
    </w:p>
    <w:p w:rsidR="00000000" w:rsidRPr="00EB33E0" w:rsidP="00EB33E0">
      <w:pPr>
        <w:pStyle w:val="ListBullet2"/>
      </w:pPr>
      <w:r w:rsidRPr="00EB33E0">
        <w:t>pupillometer</w:t>
      </w:r>
    </w:p>
    <w:p w:rsidR="00000000" w:rsidRPr="00EB33E0" w:rsidP="00EB33E0">
      <w:pPr>
        <w:pStyle w:val="ListBullet2"/>
      </w:pPr>
      <w:r w:rsidRPr="00EB33E0">
        <w:t>spectacle frames</w:t>
      </w:r>
    </w:p>
    <w:p w:rsidR="00000000" w:rsidRPr="00EB33E0" w:rsidP="00EB33E0">
      <w:pPr>
        <w:pStyle w:val="ListBullet2"/>
      </w:pPr>
      <w:r w:rsidRPr="00EB33E0">
        <w:t xml:space="preserve">spectacle lenses </w:t>
      </w:r>
    </w:p>
    <w:p w:rsidR="00000000" w:rsidRPr="00EB33E0" w:rsidP="00EB33E0">
      <w:pPr>
        <w:pStyle w:val="ListBullet"/>
      </w:pPr>
      <w:r w:rsidRPr="00EB33E0">
        <w:t>modelling of industry operating conditions, including provision of services to the general public</w:t>
      </w:r>
    </w:p>
    <w:p w:rsidR="00000000" w:rsidRPr="00EB33E0" w:rsidP="00EB33E0">
      <w:pPr>
        <w:pStyle w:val="BodyText"/>
      </w:pPr>
    </w:p>
    <w:p w:rsidR="00000000" w:rsidRPr="00EB33E0" w:rsidP="00282F3E">
      <w:pPr>
        <w:pStyle w:val="BodyText"/>
      </w:pPr>
      <w:r w:rsidRPr="00EB33E0">
        <w:t>Assessors must satisfy the Standards for Registered Training</w:t>
      </w:r>
      <w:r w:rsidRPr="00EB33E0">
        <w:t xml:space="preserve"> Organisations (RTOs) 2015/AQTF mandatory competency requirements for assessors.</w:t>
      </w:r>
    </w:p>
    <w:p w:rsidR="00000000" w:rsidRPr="00EB33E0" w:rsidP="00EB33E0">
      <w:pPr>
        <w:pStyle w:val="Heading1"/>
      </w:pPr>
      <w:bookmarkStart w:id="11" w:name="O_656963"/>
      <w:bookmarkEnd w:id="11"/>
      <w:r w:rsidRPr="00EB33E0">
        <w:t>Links</w:t>
      </w:r>
    </w:p>
    <w:p w:rsidR="00000000" w:rsidRPr="00EB33E0" w:rsidP="00282F3E">
      <w:pPr>
        <w:pStyle w:val="BodyText"/>
      </w:pPr>
      <w:r w:rsidRPr="00EB33E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44F61">
        <w:rPr>
          <w:rStyle w:val="Hyperlink"/>
        </w:rPr>
        <w:t>https://vetnet.gov.au/Pages/TrainingDocs.aspx?q=ced1390f-48d9-4ab0-bd50-b015e5485705</w:t>
      </w:r>
      <w:r>
        <w:fldChar w:fldCharType="end"/>
      </w:r>
    </w:p>
    <w:p w:rsidR="00000000" w:rsidRPr="00EB33E0" w:rsidP="00EB33E0"/>
    <w:sectPr w:rsidSect="00EB33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E0" w:rsidRPr="00282F3E" w:rsidP="00282F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F3E" w:rsidP="00EB33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2F3E" w:rsidP="00EB33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82F3E" w:rsidP="00EB33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E0" w:rsidP="00EB33E0">
    <w:pPr>
      <w:pStyle w:val="Footer"/>
      <w:framePr w:wrap="around"/>
    </w:pPr>
    <w:r>
      <w:fldChar w:fldCharType="begin"/>
    </w:r>
    <w:r>
      <w:instrText xml:space="preserve"> DOCPROPERTY  Subject  \* MERGEFORMAT </w:instrText>
    </w:r>
    <w:r>
      <w:fldChar w:fldCharType="separate"/>
    </w:r>
    <w:r w:rsidR="00282F3E">
      <w:t>Approved</w:t>
    </w:r>
    <w:r w:rsidR="00282F3E">
      <w:fldChar w:fldCharType="end"/>
    </w:r>
    <w:r>
      <w:tab/>
      <w:t xml:space="preserve">Page </w:t>
    </w:r>
    <w:r>
      <w:fldChar w:fldCharType="begin"/>
    </w:r>
    <w:r>
      <w:instrText xml:space="preserve"> PAGE  \* Arabic  \* MERGEFORMAT </w:instrText>
    </w:r>
    <w:r>
      <w:fldChar w:fldCharType="separate"/>
    </w:r>
    <w:r w:rsidR="00282F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2F3E">
      <w:rPr>
        <w:noProof/>
      </w:rPr>
      <w:t>5</w:t>
    </w:r>
    <w:r>
      <w:rPr>
        <w:noProof/>
      </w:rPr>
      <w:fldChar w:fldCharType="end"/>
    </w:r>
  </w:p>
  <w:p w:rsidR="00EB33E0" w:rsidP="00EB33E0">
    <w:pPr>
      <w:pStyle w:val="Footer"/>
      <w:framePr w:wrap="around"/>
    </w:pPr>
    <w:r>
      <w:t xml:space="preserve">© Commonwealth of Australia, </w:t>
    </w:r>
    <w:r>
      <w:fldChar w:fldCharType="begin"/>
    </w:r>
    <w:r>
      <w:instrText xml:space="preserve"> DATE  \@ "yyyy"  \* MERGEFORMAT </w:instrText>
    </w:r>
    <w:r>
      <w:fldChar w:fldCharType="separate"/>
    </w:r>
    <w:r w:rsidR="00282F3E">
      <w:rPr>
        <w:noProof/>
      </w:rPr>
      <w:t>2025</w:t>
    </w:r>
    <w:r>
      <w:fldChar w:fldCharType="end"/>
    </w:r>
    <w:r>
      <w:tab/>
    </w:r>
    <w:r>
      <w:fldChar w:fldCharType="begin"/>
    </w:r>
    <w:r>
      <w:instrText xml:space="preserve"> DOCPROPERTY  Author  \* MERGEFORMAT </w:instrText>
    </w:r>
    <w:r>
      <w:fldChar w:fldCharType="separate"/>
    </w:r>
    <w:r w:rsidR="00282F3E">
      <w:t>HumanAbility</w:t>
    </w:r>
    <w:r w:rsidR="00282F3E">
      <w:fldChar w:fldCharType="end"/>
    </w:r>
  </w:p>
  <w:p w:rsidR="00EB33E0" w:rsidP="00EB33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F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3E0" w:rsidRPr="00282F3E" w:rsidP="00282F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F3E" w:rsidRPr="002D2AF8" w:rsidP="00EB33E0">
    <w:pPr>
      <w:pStyle w:val="Header"/>
      <w:framePr w:wrap="around"/>
    </w:pPr>
    <w:r>
      <w:fldChar w:fldCharType="begin"/>
    </w:r>
    <w:r>
      <w:instrText xml:space="preserve"> TITLE   \* MERGEFORMAT </w:instrText>
    </w:r>
    <w:r>
      <w:fldChar w:fldCharType="separate"/>
    </w:r>
    <w:r>
      <w:t>HLTOPD002 Dispense optical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2F3E" w:rsidP="00EB33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E0" w:rsidRPr="002D2AF8" w:rsidP="00EB33E0">
    <w:pPr>
      <w:pStyle w:val="Header"/>
      <w:framePr w:wrap="around"/>
    </w:pPr>
    <w:r>
      <w:fldChar w:fldCharType="begin"/>
    </w:r>
    <w:r>
      <w:instrText xml:space="preserve"> TITLE   \* MERGEFORMAT </w:instrText>
    </w:r>
    <w:r>
      <w:fldChar w:fldCharType="separate"/>
    </w:r>
    <w:r w:rsidR="00282F3E">
      <w:t>HLTOPD002 Dispense optical appliances</w:t>
    </w:r>
    <w:r w:rsidR="00282F3E">
      <w:fldChar w:fldCharType="end"/>
    </w:r>
    <w:r>
      <w:tab/>
      <w:t xml:space="preserve">Date this document was generated: </w:t>
    </w:r>
    <w:r>
      <w:fldChar w:fldCharType="begin"/>
    </w:r>
    <w:r>
      <w:instrText xml:space="preserve"> CREATEDATE  \@ "d MMMM yyyy"  \* MERGEFORMAT </w:instrText>
    </w:r>
    <w:r>
      <w:fldChar w:fldCharType="separate"/>
    </w:r>
    <w:r w:rsidR="00282F3E">
      <w:rPr>
        <w:noProof/>
      </w:rPr>
      <w:t>2 March 2025</w:t>
    </w:r>
    <w:r>
      <w:fldChar w:fldCharType="end"/>
    </w:r>
  </w:p>
  <w:p w:rsidR="00EB33E0" w:rsidP="00EB33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6C8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C45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EA3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3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3E0"/>
    <w:pPr>
      <w:spacing w:before="360" w:after="60"/>
      <w:outlineLvl w:val="0"/>
    </w:pPr>
    <w:rPr>
      <w:sz w:val="32"/>
    </w:rPr>
  </w:style>
  <w:style w:type="paragraph" w:styleId="Heading2">
    <w:name w:val="heading 2"/>
    <w:basedOn w:val="HeadingBase"/>
    <w:next w:val="BodyText"/>
    <w:link w:val="Heading2Char"/>
    <w:qFormat/>
    <w:rsid w:val="00EB33E0"/>
    <w:pPr>
      <w:keepLines/>
      <w:spacing w:before="240" w:after="120"/>
      <w:outlineLvl w:val="1"/>
    </w:pPr>
    <w:rPr>
      <w:sz w:val="28"/>
      <w:szCs w:val="40"/>
    </w:rPr>
  </w:style>
  <w:style w:type="paragraph" w:styleId="Heading3">
    <w:name w:val="heading 3"/>
    <w:basedOn w:val="HeadingBase"/>
    <w:next w:val="BodyText"/>
    <w:link w:val="Heading3Char"/>
    <w:qFormat/>
    <w:rsid w:val="00EB33E0"/>
    <w:pPr>
      <w:spacing w:before="180" w:after="120"/>
      <w:outlineLvl w:val="2"/>
    </w:pPr>
    <w:rPr>
      <w:spacing w:val="-10"/>
      <w:kern w:val="32"/>
    </w:rPr>
  </w:style>
  <w:style w:type="paragraph" w:styleId="Heading4">
    <w:name w:val="heading 4"/>
    <w:basedOn w:val="HeadingBase"/>
    <w:next w:val="BodyText"/>
    <w:link w:val="Heading4Char"/>
    <w:qFormat/>
    <w:rsid w:val="00EB33E0"/>
    <w:pPr>
      <w:spacing w:before="160" w:after="120"/>
      <w:outlineLvl w:val="3"/>
    </w:pPr>
    <w:rPr>
      <w:sz w:val="22"/>
    </w:rPr>
  </w:style>
  <w:style w:type="paragraph" w:styleId="Heading5">
    <w:name w:val="heading 5"/>
    <w:basedOn w:val="HeadingBase"/>
    <w:next w:val="Normal"/>
    <w:link w:val="Heading5Char"/>
    <w:qFormat/>
    <w:rsid w:val="00EB33E0"/>
    <w:pPr>
      <w:spacing w:before="80"/>
      <w:outlineLvl w:val="4"/>
    </w:pPr>
    <w:rPr>
      <w:color w:val="918585"/>
      <w:sz w:val="20"/>
    </w:rPr>
  </w:style>
  <w:style w:type="paragraph" w:styleId="Heading6">
    <w:name w:val="heading 6"/>
    <w:basedOn w:val="HeadingBase"/>
    <w:next w:val="Normal"/>
    <w:link w:val="Heading6Char"/>
    <w:qFormat/>
    <w:rsid w:val="00EB33E0"/>
    <w:pPr>
      <w:spacing w:before="60"/>
      <w:outlineLvl w:val="5"/>
    </w:pPr>
    <w:rPr>
      <w:color w:val="918585"/>
      <w:sz w:val="20"/>
    </w:rPr>
  </w:style>
  <w:style w:type="paragraph" w:styleId="Heading7">
    <w:name w:val="heading 7"/>
    <w:basedOn w:val="Normal"/>
    <w:next w:val="Normal"/>
    <w:link w:val="Heading7Char"/>
    <w:qFormat/>
    <w:rsid w:val="00EB33E0"/>
    <w:pPr>
      <w:ind w:left="720"/>
      <w:outlineLvl w:val="6"/>
    </w:pPr>
    <w:rPr>
      <w:i/>
    </w:rPr>
  </w:style>
  <w:style w:type="paragraph" w:styleId="Heading8">
    <w:name w:val="heading 8"/>
    <w:basedOn w:val="Normal"/>
    <w:next w:val="Normal"/>
    <w:link w:val="Heading8Char"/>
    <w:qFormat/>
    <w:rsid w:val="00EB33E0"/>
    <w:pPr>
      <w:ind w:left="720"/>
      <w:outlineLvl w:val="7"/>
    </w:pPr>
    <w:rPr>
      <w:i/>
    </w:rPr>
  </w:style>
  <w:style w:type="paragraph" w:styleId="Heading9">
    <w:name w:val="heading 9"/>
    <w:basedOn w:val="Normal"/>
    <w:next w:val="Normal"/>
    <w:link w:val="Heading9Char"/>
    <w:qFormat/>
    <w:rsid w:val="00EB33E0"/>
    <w:pPr>
      <w:ind w:left="720"/>
      <w:outlineLvl w:val="8"/>
    </w:pPr>
    <w:rPr>
      <w:i/>
    </w:rPr>
  </w:style>
  <w:style w:type="character" w:default="1" w:styleId="DefaultParagraphFont">
    <w:name w:val="Default Paragraph Font"/>
    <w:uiPriority w:val="1"/>
    <w:unhideWhenUsed/>
    <w:rsid w:val="00EB33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3E0"/>
  </w:style>
  <w:style w:type="character" w:customStyle="1" w:styleId="Heading1Char">
    <w:name w:val="Heading 1 Char"/>
    <w:basedOn w:val="DefaultParagraphFont"/>
    <w:link w:val="Heading1"/>
    <w:rsid w:val="00EB33E0"/>
    <w:rPr>
      <w:rFonts w:ascii="Times New Roman" w:eastAsia="Times New Roman" w:hAnsi="Times New Roman" w:cs="Times New Roman"/>
      <w:b/>
      <w:sz w:val="32"/>
      <w:szCs w:val="20"/>
      <w:lang w:eastAsia="en-US"/>
    </w:rPr>
  </w:style>
  <w:style w:type="paragraph" w:styleId="BodyText">
    <w:name w:val="Body Text"/>
    <w:basedOn w:val="Normal"/>
    <w:link w:val="BodyTextChar"/>
    <w:rsid w:val="00EB33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3E0"/>
    <w:rPr>
      <w:rFonts w:ascii="Times New Roman" w:eastAsia="Times New Roman" w:hAnsi="Times New Roman" w:cs="Times New Roman"/>
      <w:sz w:val="24"/>
      <w:lang w:eastAsia="en-US"/>
    </w:rPr>
  </w:style>
  <w:style w:type="paragraph" w:styleId="ListBullet">
    <w:name w:val="List Bullet"/>
    <w:basedOn w:val="List"/>
    <w:rsid w:val="00EB33E0"/>
    <w:pPr>
      <w:numPr>
        <w:numId w:val="12"/>
      </w:numPr>
      <w:tabs>
        <w:tab w:val="clear" w:pos="340"/>
      </w:tabs>
      <w:spacing w:before="40" w:after="40"/>
    </w:pPr>
  </w:style>
  <w:style w:type="character" w:customStyle="1" w:styleId="SpecialBold">
    <w:name w:val="Special Bold"/>
    <w:basedOn w:val="DefaultParagraphFont"/>
    <w:rsid w:val="00EB33E0"/>
    <w:rPr>
      <w:b/>
      <w:spacing w:val="0"/>
    </w:rPr>
  </w:style>
  <w:style w:type="paragraph" w:styleId="ListBullet2">
    <w:name w:val="List Bullet 2"/>
    <w:basedOn w:val="List2"/>
    <w:rsid w:val="00EB33E0"/>
    <w:pPr>
      <w:numPr>
        <w:numId w:val="13"/>
      </w:numPr>
      <w:tabs>
        <w:tab w:val="clear" w:pos="680"/>
      </w:tabs>
    </w:pPr>
  </w:style>
  <w:style w:type="character" w:styleId="Emphasis">
    <w:name w:val="Emphasis"/>
    <w:basedOn w:val="DefaultParagraphFont"/>
    <w:qFormat/>
    <w:rsid w:val="00EB33E0"/>
    <w:rPr>
      <w:i/>
    </w:rPr>
  </w:style>
  <w:style w:type="paragraph" w:customStyle="1" w:styleId="SuperHeading">
    <w:name w:val="SuperHeading"/>
    <w:basedOn w:val="Normal"/>
    <w:rsid w:val="00EB33E0"/>
    <w:pPr>
      <w:spacing w:before="240" w:after="120"/>
      <w:outlineLvl w:val="0"/>
    </w:pPr>
    <w:rPr>
      <w:rFonts w:ascii="Times New Roman" w:hAnsi="Times New Roman"/>
      <w:b/>
      <w:sz w:val="32"/>
    </w:rPr>
  </w:style>
  <w:style w:type="paragraph" w:customStyle="1" w:styleId="AllowPageBreak">
    <w:name w:val="AllowPageBreak"/>
    <w:rsid w:val="00EB33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3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3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3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3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3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3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3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3E0"/>
    <w:rPr>
      <w:rFonts w:ascii="Courier New" w:eastAsia="Times New Roman" w:hAnsi="Courier New" w:cs="Times New Roman"/>
      <w:i/>
      <w:szCs w:val="20"/>
      <w:lang w:eastAsia="en-US"/>
    </w:rPr>
  </w:style>
  <w:style w:type="paragraph" w:customStyle="1" w:styleId="HeadingBase">
    <w:name w:val="Heading Base"/>
    <w:rsid w:val="00EB33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3E0"/>
    <w:pPr>
      <w:tabs>
        <w:tab w:val="right" w:leader="dot" w:pos="9072"/>
      </w:tabs>
      <w:ind w:left="567"/>
    </w:pPr>
    <w:rPr>
      <w:szCs w:val="22"/>
    </w:rPr>
  </w:style>
  <w:style w:type="paragraph" w:customStyle="1" w:styleId="TOCBase">
    <w:name w:val="TOC Base"/>
    <w:rsid w:val="00EB33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3E0"/>
    <w:pPr>
      <w:tabs>
        <w:tab w:val="right" w:leader="dot" w:pos="9072"/>
      </w:tabs>
      <w:spacing w:before="40" w:after="40"/>
      <w:ind w:left="284"/>
    </w:pPr>
    <w:rPr>
      <w:rFonts w:ascii="Times New Roman" w:hAnsi="Times New Roman"/>
    </w:rPr>
  </w:style>
  <w:style w:type="paragraph" w:styleId="TOC1">
    <w:name w:val="toc 1"/>
    <w:basedOn w:val="TOCBase"/>
    <w:next w:val="Normal"/>
    <w:rsid w:val="00EB33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3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3E0"/>
    <w:rPr>
      <w:rFonts w:ascii="Times New Roman" w:eastAsia="Times New Roman" w:hAnsi="Times New Roman" w:cs="Times New Roman"/>
      <w:sz w:val="16"/>
      <w:lang w:eastAsia="en-US"/>
    </w:rPr>
  </w:style>
  <w:style w:type="paragraph" w:styleId="Title">
    <w:name w:val="Title"/>
    <w:basedOn w:val="HeadingBase"/>
    <w:link w:val="TitleChar"/>
    <w:qFormat/>
    <w:rsid w:val="00EB33E0"/>
    <w:pPr>
      <w:spacing w:before="5040"/>
      <w:jc w:val="center"/>
    </w:pPr>
    <w:rPr>
      <w:sz w:val="48"/>
      <w:szCs w:val="72"/>
      <w:lang w:val="en-US"/>
    </w:rPr>
  </w:style>
  <w:style w:type="character" w:customStyle="1" w:styleId="TitleChar">
    <w:name w:val="Title Char"/>
    <w:basedOn w:val="DefaultParagraphFont"/>
    <w:link w:val="Title"/>
    <w:rsid w:val="00EB33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3E0"/>
    <w:pPr>
      <w:tabs>
        <w:tab w:val="left" w:pos="3600"/>
        <w:tab w:val="left" w:pos="3958"/>
      </w:tabs>
    </w:pPr>
  </w:style>
  <w:style w:type="paragraph" w:styleId="List">
    <w:name w:val="List"/>
    <w:basedOn w:val="BodyText"/>
    <w:next w:val="BodyText"/>
    <w:rsid w:val="00EB33E0"/>
    <w:pPr>
      <w:tabs>
        <w:tab w:val="left" w:pos="340"/>
      </w:tabs>
      <w:spacing w:before="60" w:after="60"/>
      <w:ind w:left="340" w:hanging="340"/>
    </w:pPr>
  </w:style>
  <w:style w:type="paragraph" w:customStyle="1" w:styleId="Note">
    <w:name w:val="Note"/>
    <w:basedOn w:val="BodyText"/>
    <w:rsid w:val="00EB33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3E0"/>
    <w:pPr>
      <w:framePr w:wrap="auto" w:hAnchor="text" w:y="6049"/>
    </w:pPr>
    <w:rPr>
      <w:color w:val="000000"/>
      <w:sz w:val="40"/>
    </w:rPr>
  </w:style>
  <w:style w:type="paragraph" w:customStyle="1" w:styleId="TOCTitle">
    <w:name w:val="TOCTitle"/>
    <w:basedOn w:val="Heading1"/>
    <w:rsid w:val="00EB33E0"/>
    <w:pPr>
      <w:spacing w:after="240"/>
      <w:jc w:val="center"/>
      <w:outlineLvl w:val="9"/>
    </w:pPr>
    <w:rPr>
      <w:caps/>
    </w:rPr>
  </w:style>
  <w:style w:type="paragraph" w:customStyle="1" w:styleId="Version">
    <w:name w:val="Version"/>
    <w:rsid w:val="00EB33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3E0"/>
    <w:pPr>
      <w:keepNext w:val="0"/>
      <w:tabs>
        <w:tab w:val="right" w:pos="4176"/>
      </w:tabs>
      <w:ind w:left="198" w:hanging="198"/>
    </w:pPr>
    <w:rPr>
      <w:rFonts w:ascii="Garamond" w:hAnsi="Garamond"/>
    </w:rPr>
  </w:style>
  <w:style w:type="paragraph" w:styleId="IndexHeading">
    <w:name w:val="index heading"/>
    <w:basedOn w:val="Normal"/>
    <w:next w:val="Index1"/>
    <w:semiHidden/>
    <w:rsid w:val="00EB33E0"/>
    <w:pPr>
      <w:spacing w:before="120" w:after="120"/>
    </w:pPr>
    <w:rPr>
      <w:rFonts w:ascii="Arial" w:hAnsi="Arial"/>
      <w:b/>
      <w:color w:val="918585"/>
      <w:sz w:val="24"/>
    </w:rPr>
  </w:style>
  <w:style w:type="paragraph" w:styleId="Header">
    <w:name w:val="header"/>
    <w:basedOn w:val="Normal"/>
    <w:link w:val="HeaderChar"/>
    <w:rsid w:val="00EB33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3E0"/>
    <w:rPr>
      <w:rFonts w:ascii="Times New Roman" w:eastAsia="Times New Roman" w:hAnsi="Times New Roman" w:cs="Times New Roman"/>
      <w:sz w:val="16"/>
      <w:szCs w:val="20"/>
      <w:lang w:val="en-GB" w:eastAsia="en-US"/>
    </w:rPr>
  </w:style>
  <w:style w:type="paragraph" w:customStyle="1" w:styleId="Chapter">
    <w:name w:val="Chapter"/>
    <w:basedOn w:val="Normal"/>
    <w:rsid w:val="00EB33E0"/>
    <w:pPr>
      <w:spacing w:before="240"/>
    </w:pPr>
    <w:rPr>
      <w:rFonts w:ascii="Times New Roman" w:hAnsi="Times New Roman"/>
      <w:smallCaps/>
      <w:spacing w:val="80"/>
      <w:sz w:val="28"/>
    </w:rPr>
  </w:style>
  <w:style w:type="paragraph" w:customStyle="1" w:styleId="InChapter">
    <w:name w:val="InChapter"/>
    <w:basedOn w:val="Heading3"/>
    <w:rsid w:val="00EB33E0"/>
    <w:pPr>
      <w:spacing w:after="240"/>
      <w:outlineLvl w:val="9"/>
    </w:pPr>
    <w:rPr>
      <w:noProof/>
    </w:rPr>
  </w:style>
  <w:style w:type="paragraph" w:styleId="Index2">
    <w:name w:val="index 2"/>
    <w:basedOn w:val="Normal"/>
    <w:next w:val="Normal"/>
    <w:semiHidden/>
    <w:rsid w:val="00EB33E0"/>
    <w:pPr>
      <w:tabs>
        <w:tab w:val="right" w:pos="4176"/>
      </w:tabs>
      <w:ind w:left="568" w:hanging="284"/>
    </w:pPr>
    <w:rPr>
      <w:rFonts w:ascii="Garamond" w:hAnsi="Garamond"/>
    </w:rPr>
  </w:style>
  <w:style w:type="paragraph" w:customStyle="1" w:styleId="Byline">
    <w:name w:val="Byline"/>
    <w:rsid w:val="00EB33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3E0"/>
    <w:pPr>
      <w:tabs>
        <w:tab w:val="clear" w:pos="3600"/>
        <w:tab w:val="clear" w:pos="3958"/>
      </w:tabs>
      <w:jc w:val="right"/>
    </w:pPr>
  </w:style>
  <w:style w:type="paragraph" w:styleId="Caption">
    <w:name w:val="caption"/>
    <w:basedOn w:val="BodyText"/>
    <w:next w:val="Normal"/>
    <w:qFormat/>
    <w:rsid w:val="00EB33E0"/>
    <w:pPr>
      <w:framePr w:w="2268" w:hSpace="181" w:vSpace="181" w:wrap="around" w:vAnchor="text" w:hAnchor="page" w:x="1135" w:y="285" w:anchorLock="1"/>
    </w:pPr>
    <w:rPr>
      <w:i/>
    </w:rPr>
  </w:style>
  <w:style w:type="paragraph" w:customStyle="1" w:styleId="MiniTOCTitle">
    <w:name w:val="MiniTOCTitle"/>
    <w:basedOn w:val="Heading4"/>
    <w:rsid w:val="00EB33E0"/>
    <w:pPr>
      <w:spacing w:before="240"/>
      <w:outlineLvl w:val="9"/>
    </w:pPr>
    <w:rPr>
      <w:noProof/>
      <w:sz w:val="24"/>
    </w:rPr>
  </w:style>
  <w:style w:type="paragraph" w:customStyle="1" w:styleId="MiniTOCItem">
    <w:name w:val="MiniTOCItem"/>
    <w:basedOn w:val="ListBullet"/>
    <w:rsid w:val="00EB33E0"/>
    <w:pPr>
      <w:numPr>
        <w:numId w:val="0"/>
      </w:numPr>
      <w:tabs>
        <w:tab w:val="right" w:leader="dot" w:pos="6521"/>
      </w:tabs>
      <w:spacing w:before="0" w:after="0"/>
    </w:pPr>
  </w:style>
  <w:style w:type="paragraph" w:customStyle="1" w:styleId="TOFTitle">
    <w:name w:val="TOFTitle"/>
    <w:basedOn w:val="TOCTitle"/>
    <w:rsid w:val="00EB33E0"/>
  </w:style>
  <w:style w:type="paragraph" w:styleId="TableofFigures">
    <w:name w:val="table of figures"/>
    <w:basedOn w:val="Normal"/>
    <w:next w:val="Normal"/>
    <w:semiHidden/>
    <w:rsid w:val="00EB33E0"/>
    <w:pPr>
      <w:tabs>
        <w:tab w:val="right" w:leader="dot" w:pos="9072"/>
      </w:tabs>
      <w:ind w:left="970" w:hanging="403"/>
    </w:pPr>
    <w:rPr>
      <w:rFonts w:ascii="Times New Roman" w:hAnsi="Times New Roman"/>
      <w:b/>
    </w:rPr>
  </w:style>
  <w:style w:type="paragraph" w:styleId="ListNumber">
    <w:name w:val="List Number"/>
    <w:basedOn w:val="List"/>
    <w:rsid w:val="00EB33E0"/>
    <w:pPr>
      <w:numPr>
        <w:numId w:val="15"/>
      </w:numPr>
      <w:tabs>
        <w:tab w:val="clear" w:pos="340"/>
      </w:tabs>
    </w:pPr>
  </w:style>
  <w:style w:type="character" w:customStyle="1" w:styleId="WingdingSymbols">
    <w:name w:val="Wingding Symbols"/>
    <w:rsid w:val="00EB33E0"/>
    <w:rPr>
      <w:rFonts w:ascii="Wingdings" w:hAnsi="Wingdings"/>
    </w:rPr>
  </w:style>
  <w:style w:type="paragraph" w:customStyle="1" w:styleId="TableHeading">
    <w:name w:val="Table Heading"/>
    <w:basedOn w:val="HeadingBase"/>
    <w:rsid w:val="00EB33E0"/>
    <w:pPr>
      <w:keepLines/>
      <w:pBdr>
        <w:bottom w:val="single" w:sz="6" w:space="1" w:color="918585"/>
      </w:pBdr>
      <w:spacing w:before="240"/>
    </w:pPr>
  </w:style>
  <w:style w:type="character" w:customStyle="1" w:styleId="HotSpot">
    <w:name w:val="HotSpot"/>
    <w:rsid w:val="00EB33E0"/>
    <w:rPr>
      <w:color w:val="0033CC"/>
      <w:u w:val="none"/>
    </w:rPr>
  </w:style>
  <w:style w:type="paragraph" w:customStyle="1" w:styleId="BodyTextRight">
    <w:name w:val="Body Text Right"/>
    <w:basedOn w:val="BodyText"/>
    <w:rsid w:val="00EB33E0"/>
    <w:pPr>
      <w:spacing w:before="0" w:after="0"/>
      <w:jc w:val="right"/>
    </w:pPr>
  </w:style>
  <w:style w:type="paragraph" w:styleId="Index3">
    <w:name w:val="index 3"/>
    <w:basedOn w:val="ListNumber2"/>
    <w:next w:val="Normal"/>
    <w:semiHidden/>
    <w:rsid w:val="00EB33E0"/>
    <w:pPr>
      <w:numPr>
        <w:numId w:val="0"/>
      </w:numPr>
      <w:tabs>
        <w:tab w:val="right" w:leader="dot" w:pos="4176"/>
      </w:tabs>
    </w:pPr>
  </w:style>
  <w:style w:type="paragraph" w:styleId="ListNumber2">
    <w:name w:val="List Number 2"/>
    <w:basedOn w:val="List2"/>
    <w:rsid w:val="00EB33E0"/>
    <w:pPr>
      <w:numPr>
        <w:numId w:val="10"/>
      </w:numPr>
      <w:tabs>
        <w:tab w:val="clear" w:pos="1060"/>
      </w:tabs>
    </w:pPr>
  </w:style>
  <w:style w:type="paragraph" w:customStyle="1" w:styleId="MarginNote">
    <w:name w:val="Margin Note"/>
    <w:basedOn w:val="BodyText"/>
    <w:rsid w:val="00EB33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3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3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3E0"/>
    <w:rPr>
      <w:sz w:val="32"/>
    </w:rPr>
  </w:style>
  <w:style w:type="paragraph" w:customStyle="1" w:styleId="HeadingProcedure">
    <w:name w:val="Heading Procedure"/>
    <w:basedOn w:val="HeadingBase"/>
    <w:next w:val="Normal"/>
    <w:rsid w:val="00EB33E0"/>
    <w:pPr>
      <w:tabs>
        <w:tab w:val="left" w:pos="0"/>
      </w:tabs>
      <w:spacing w:before="120" w:after="60"/>
    </w:pPr>
    <w:rPr>
      <w:i/>
      <w:color w:val="918585"/>
      <w:sz w:val="22"/>
    </w:rPr>
  </w:style>
  <w:style w:type="paragraph" w:customStyle="1" w:styleId="TableBodyText">
    <w:name w:val="Table Body Text"/>
    <w:basedOn w:val="BodyText"/>
    <w:rsid w:val="00EB33E0"/>
    <w:pPr>
      <w:spacing w:before="60" w:after="60"/>
    </w:pPr>
  </w:style>
  <w:style w:type="paragraph" w:styleId="ListContinue">
    <w:name w:val="List Continue"/>
    <w:basedOn w:val="List"/>
    <w:rsid w:val="00EB33E0"/>
    <w:pPr>
      <w:ind w:firstLine="0"/>
    </w:pPr>
  </w:style>
  <w:style w:type="paragraph" w:customStyle="1" w:styleId="ListNote">
    <w:name w:val="List Note"/>
    <w:basedOn w:val="List"/>
    <w:rsid w:val="00EB33E0"/>
    <w:pPr>
      <w:pBdr>
        <w:top w:val="single" w:sz="6" w:space="2" w:color="918585"/>
        <w:bottom w:val="single" w:sz="6" w:space="2" w:color="918585"/>
      </w:pBdr>
      <w:tabs>
        <w:tab w:val="left" w:pos="1021"/>
      </w:tabs>
      <w:ind w:firstLine="0"/>
    </w:pPr>
  </w:style>
  <w:style w:type="paragraph" w:customStyle="1" w:styleId="Warning">
    <w:name w:val="Warning"/>
    <w:basedOn w:val="BodyText"/>
    <w:rsid w:val="00EB33E0"/>
    <w:pPr>
      <w:shd w:val="clear" w:color="auto" w:fill="D9D9D9"/>
      <w:tabs>
        <w:tab w:val="left" w:pos="992"/>
      </w:tabs>
      <w:ind w:left="119" w:right="119"/>
    </w:pPr>
    <w:rPr>
      <w:sz w:val="20"/>
    </w:rPr>
  </w:style>
  <w:style w:type="paragraph" w:customStyle="1" w:styleId="MarginIcons">
    <w:name w:val="Margin Icons"/>
    <w:basedOn w:val="BodyText"/>
    <w:rsid w:val="00EB33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3E0"/>
    <w:rPr>
      <w:rFonts w:ascii="Courier New" w:hAnsi="Courier New"/>
    </w:rPr>
  </w:style>
  <w:style w:type="paragraph" w:customStyle="1" w:styleId="NoteBullet">
    <w:name w:val="Note Bullet"/>
    <w:basedOn w:val="Note"/>
    <w:rsid w:val="00EB33E0"/>
    <w:pPr>
      <w:tabs>
        <w:tab w:val="clear" w:pos="680"/>
      </w:tabs>
      <w:spacing w:before="60" w:after="60"/>
    </w:pPr>
  </w:style>
  <w:style w:type="paragraph" w:customStyle="1" w:styleId="SubHeading2">
    <w:name w:val="SubHeading2"/>
    <w:basedOn w:val="HeadingBase"/>
    <w:rsid w:val="00EB33E0"/>
    <w:pPr>
      <w:spacing w:before="240" w:after="60"/>
    </w:pPr>
    <w:rPr>
      <w:sz w:val="20"/>
    </w:rPr>
  </w:style>
  <w:style w:type="paragraph" w:customStyle="1" w:styleId="SubHeading1">
    <w:name w:val="SubHeading1"/>
    <w:basedOn w:val="HeadingBase"/>
    <w:rsid w:val="00EB33E0"/>
    <w:pPr>
      <w:spacing w:before="240" w:after="60"/>
    </w:pPr>
    <w:rPr>
      <w:color w:val="918585"/>
      <w:sz w:val="22"/>
    </w:rPr>
  </w:style>
  <w:style w:type="paragraph" w:customStyle="1" w:styleId="SideHeading">
    <w:name w:val="Side Heading"/>
    <w:basedOn w:val="HeadingBase"/>
    <w:rsid w:val="00EB33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3E0"/>
    <w:pPr>
      <w:tabs>
        <w:tab w:val="num" w:pos="360"/>
      </w:tabs>
    </w:pPr>
  </w:style>
  <w:style w:type="paragraph" w:styleId="PlainText">
    <w:name w:val="Plain Text"/>
    <w:basedOn w:val="Normal"/>
    <w:link w:val="PlainTextChar"/>
    <w:rsid w:val="00EB33E0"/>
    <w:rPr>
      <w:sz w:val="20"/>
    </w:rPr>
  </w:style>
  <w:style w:type="character" w:customStyle="1" w:styleId="PlainTextChar">
    <w:name w:val="Plain Text Char"/>
    <w:basedOn w:val="DefaultParagraphFont"/>
    <w:link w:val="PlainText"/>
    <w:rsid w:val="00EB33E0"/>
    <w:rPr>
      <w:rFonts w:ascii="Courier New" w:eastAsia="Times New Roman" w:hAnsi="Courier New" w:cs="Times New Roman"/>
      <w:sz w:val="20"/>
      <w:szCs w:val="20"/>
      <w:lang w:eastAsia="en-US"/>
    </w:rPr>
  </w:style>
  <w:style w:type="character" w:customStyle="1" w:styleId="MenuOption">
    <w:name w:val="Menu Option"/>
    <w:basedOn w:val="DefaultParagraphFont"/>
    <w:rsid w:val="00EB33E0"/>
    <w:rPr>
      <w:b/>
      <w:smallCaps/>
    </w:rPr>
  </w:style>
  <w:style w:type="paragraph" w:customStyle="1" w:styleId="TableListNumber">
    <w:name w:val="Table List Number"/>
    <w:basedOn w:val="ListNumber"/>
    <w:rsid w:val="00EB33E0"/>
    <w:pPr>
      <w:numPr>
        <w:numId w:val="0"/>
      </w:numPr>
    </w:pPr>
  </w:style>
  <w:style w:type="paragraph" w:styleId="TOC4">
    <w:name w:val="toc 4"/>
    <w:basedOn w:val="TOCBase"/>
    <w:next w:val="Normal"/>
    <w:semiHidden/>
    <w:rsid w:val="00EB33E0"/>
    <w:pPr>
      <w:tabs>
        <w:tab w:val="right" w:leader="dot" w:pos="9071"/>
      </w:tabs>
      <w:ind w:left="1701"/>
    </w:pPr>
  </w:style>
  <w:style w:type="paragraph" w:customStyle="1" w:styleId="ListAlpha">
    <w:name w:val="List Alpha"/>
    <w:basedOn w:val="List"/>
    <w:rsid w:val="00EB33E0"/>
    <w:pPr>
      <w:numPr>
        <w:numId w:val="9"/>
      </w:numPr>
    </w:pPr>
  </w:style>
  <w:style w:type="paragraph" w:customStyle="1" w:styleId="ListAlpha2">
    <w:name w:val="List Alpha 2"/>
    <w:basedOn w:val="List2"/>
    <w:rsid w:val="00EB33E0"/>
    <w:pPr>
      <w:numPr>
        <w:numId w:val="8"/>
      </w:numPr>
    </w:pPr>
  </w:style>
  <w:style w:type="paragraph" w:styleId="List2">
    <w:name w:val="List 2"/>
    <w:basedOn w:val="BodyText"/>
    <w:rsid w:val="00EB33E0"/>
    <w:pPr>
      <w:tabs>
        <w:tab w:val="left" w:pos="680"/>
      </w:tabs>
      <w:spacing w:before="60" w:after="60"/>
      <w:ind w:left="680" w:hanging="340"/>
    </w:pPr>
  </w:style>
  <w:style w:type="paragraph" w:styleId="List3">
    <w:name w:val="List 3"/>
    <w:basedOn w:val="BodyText"/>
    <w:rsid w:val="00EB33E0"/>
    <w:pPr>
      <w:tabs>
        <w:tab w:val="left" w:pos="1021"/>
      </w:tabs>
      <w:spacing w:before="60" w:after="60"/>
      <w:ind w:left="1020" w:hanging="340"/>
    </w:pPr>
  </w:style>
  <w:style w:type="paragraph" w:styleId="List4">
    <w:name w:val="List 4"/>
    <w:basedOn w:val="BodyText"/>
    <w:rsid w:val="00EB33E0"/>
    <w:pPr>
      <w:tabs>
        <w:tab w:val="left" w:pos="1361"/>
      </w:tabs>
      <w:spacing w:before="60" w:after="60"/>
      <w:ind w:left="1361" w:hanging="340"/>
    </w:pPr>
  </w:style>
  <w:style w:type="paragraph" w:styleId="List5">
    <w:name w:val="List 5"/>
    <w:basedOn w:val="BodyText"/>
    <w:rsid w:val="00EB33E0"/>
    <w:pPr>
      <w:tabs>
        <w:tab w:val="left" w:pos="1701"/>
      </w:tabs>
      <w:spacing w:before="60" w:after="60"/>
      <w:ind w:left="1701" w:hanging="340"/>
    </w:pPr>
  </w:style>
  <w:style w:type="paragraph" w:styleId="ListBullet3">
    <w:name w:val="List Bullet 3"/>
    <w:basedOn w:val="List3"/>
    <w:rsid w:val="00EB33E0"/>
    <w:pPr>
      <w:numPr>
        <w:numId w:val="14"/>
      </w:numPr>
      <w:tabs>
        <w:tab w:val="clear" w:pos="1021"/>
      </w:tabs>
      <w:ind w:left="1037" w:hanging="357"/>
    </w:pPr>
  </w:style>
  <w:style w:type="paragraph" w:styleId="ListBullet4">
    <w:name w:val="List Bullet 4"/>
    <w:basedOn w:val="List4"/>
    <w:rsid w:val="00EB33E0"/>
    <w:pPr>
      <w:numPr>
        <w:numId w:val="3"/>
      </w:numPr>
      <w:tabs>
        <w:tab w:val="clear" w:pos="1361"/>
      </w:tabs>
    </w:pPr>
  </w:style>
  <w:style w:type="paragraph" w:styleId="ListBullet5">
    <w:name w:val="List Bullet 5"/>
    <w:basedOn w:val="List5"/>
    <w:rsid w:val="00EB33E0"/>
    <w:pPr>
      <w:numPr>
        <w:numId w:val="4"/>
      </w:numPr>
    </w:pPr>
  </w:style>
  <w:style w:type="paragraph" w:styleId="ListContinue2">
    <w:name w:val="List Continue 2"/>
    <w:basedOn w:val="List2"/>
    <w:rsid w:val="00EB33E0"/>
    <w:pPr>
      <w:ind w:firstLine="0"/>
    </w:pPr>
  </w:style>
  <w:style w:type="paragraph" w:styleId="ListContinue3">
    <w:name w:val="List Continue 3"/>
    <w:basedOn w:val="List3"/>
    <w:rsid w:val="00EB33E0"/>
    <w:pPr>
      <w:ind w:left="1021" w:firstLine="0"/>
    </w:pPr>
  </w:style>
  <w:style w:type="paragraph" w:styleId="ListContinue4">
    <w:name w:val="List Continue 4"/>
    <w:basedOn w:val="List4"/>
    <w:rsid w:val="00EB33E0"/>
    <w:pPr>
      <w:ind w:firstLine="0"/>
    </w:pPr>
  </w:style>
  <w:style w:type="paragraph" w:styleId="ListContinue5">
    <w:name w:val="List Continue 5"/>
    <w:basedOn w:val="List5"/>
    <w:rsid w:val="00EB33E0"/>
    <w:pPr>
      <w:ind w:firstLine="0"/>
    </w:pPr>
  </w:style>
  <w:style w:type="paragraph" w:styleId="ListNumber3">
    <w:name w:val="List Number 3"/>
    <w:basedOn w:val="List3"/>
    <w:rsid w:val="00EB33E0"/>
    <w:pPr>
      <w:numPr>
        <w:numId w:val="5"/>
      </w:numPr>
    </w:pPr>
  </w:style>
  <w:style w:type="paragraph" w:styleId="ListNumber4">
    <w:name w:val="List Number 4"/>
    <w:basedOn w:val="List4"/>
    <w:rsid w:val="00EB33E0"/>
    <w:pPr>
      <w:numPr>
        <w:numId w:val="6"/>
      </w:numPr>
    </w:pPr>
  </w:style>
  <w:style w:type="paragraph" w:styleId="ListNumber5">
    <w:name w:val="List Number 5"/>
    <w:basedOn w:val="List5"/>
    <w:rsid w:val="00EB33E0"/>
    <w:pPr>
      <w:numPr>
        <w:numId w:val="7"/>
      </w:numPr>
    </w:pPr>
  </w:style>
  <w:style w:type="paragraph" w:styleId="BlockText">
    <w:name w:val="Block Text"/>
    <w:basedOn w:val="Normal"/>
    <w:rsid w:val="00EB33E0"/>
    <w:pPr>
      <w:spacing w:after="120"/>
      <w:ind w:left="1440" w:right="1440"/>
    </w:pPr>
  </w:style>
  <w:style w:type="character" w:customStyle="1" w:styleId="Subscript">
    <w:name w:val="Subscript"/>
    <w:basedOn w:val="DefaultParagraphFont"/>
    <w:rsid w:val="00EB33E0"/>
    <w:rPr>
      <w:sz w:val="16"/>
      <w:vertAlign w:val="subscript"/>
    </w:rPr>
  </w:style>
  <w:style w:type="character" w:customStyle="1" w:styleId="Superscript">
    <w:name w:val="Superscript"/>
    <w:basedOn w:val="DefaultParagraphFont"/>
    <w:rsid w:val="00EB33E0"/>
    <w:rPr>
      <w:sz w:val="16"/>
      <w:vertAlign w:val="superscript"/>
    </w:rPr>
  </w:style>
  <w:style w:type="character" w:customStyle="1" w:styleId="Symbols">
    <w:name w:val="Symbols"/>
    <w:basedOn w:val="DefaultParagraphFont"/>
    <w:rsid w:val="00EB33E0"/>
    <w:rPr>
      <w:rFonts w:ascii="Symbol" w:hAnsi="Symbol"/>
    </w:rPr>
  </w:style>
  <w:style w:type="character" w:customStyle="1" w:styleId="MenuOptions">
    <w:name w:val="Menu Options"/>
    <w:basedOn w:val="DefaultParagraphFont"/>
    <w:rsid w:val="00EB33E0"/>
    <w:rPr>
      <w:rFonts w:ascii="Arial Narrow" w:hAnsi="Arial Narrow"/>
      <w:smallCaps/>
    </w:rPr>
  </w:style>
  <w:style w:type="character" w:customStyle="1" w:styleId="Buttons">
    <w:name w:val="Buttons"/>
    <w:basedOn w:val="DefaultParagraphFont"/>
    <w:rsid w:val="00EB33E0"/>
    <w:rPr>
      <w:b/>
    </w:rPr>
  </w:style>
  <w:style w:type="character" w:customStyle="1" w:styleId="Underlined">
    <w:name w:val="Underlined"/>
    <w:basedOn w:val="DefaultParagraphFont"/>
    <w:rsid w:val="00EB33E0"/>
    <w:rPr>
      <w:u w:val="single"/>
    </w:rPr>
  </w:style>
  <w:style w:type="paragraph" w:customStyle="1" w:styleId="TableBodyTextRight">
    <w:name w:val="Table Body Text Right"/>
    <w:basedOn w:val="TableBodyText"/>
    <w:rsid w:val="00EB33E0"/>
    <w:pPr>
      <w:widowControl w:val="0"/>
      <w:autoSpaceDE w:val="0"/>
      <w:autoSpaceDN w:val="0"/>
      <w:adjustRightInd w:val="0"/>
      <w:jc w:val="right"/>
    </w:pPr>
    <w:rPr>
      <w:rFonts w:cs="Arial"/>
      <w:szCs w:val="18"/>
    </w:rPr>
  </w:style>
  <w:style w:type="paragraph" w:customStyle="1" w:styleId="CopyrightText">
    <w:name w:val="Copyright Text"/>
    <w:basedOn w:val="BodyText"/>
    <w:rsid w:val="00EB33E0"/>
    <w:rPr>
      <w:sz w:val="18"/>
    </w:rPr>
  </w:style>
  <w:style w:type="paragraph" w:customStyle="1" w:styleId="BodySmallRight">
    <w:name w:val="Body Small Right"/>
    <w:basedOn w:val="BodyTextRight"/>
    <w:rsid w:val="00EB33E0"/>
    <w:rPr>
      <w:sz w:val="18"/>
      <w:szCs w:val="18"/>
    </w:rPr>
  </w:style>
  <w:style w:type="paragraph" w:customStyle="1" w:styleId="MarginEdition">
    <w:name w:val="Margin Edition"/>
    <w:basedOn w:val="MarginNote"/>
    <w:rsid w:val="00EB33E0"/>
    <w:pPr>
      <w:spacing w:before="0" w:after="0"/>
    </w:pPr>
    <w:rPr>
      <w:rFonts w:ascii="Times New Roman" w:hAnsi="Times New Roman"/>
      <w:color w:val="999999"/>
    </w:rPr>
  </w:style>
  <w:style w:type="paragraph" w:customStyle="1" w:styleId="Spacer">
    <w:name w:val="Spacer"/>
    <w:basedOn w:val="Normal"/>
    <w:rsid w:val="00EB33E0"/>
    <w:rPr>
      <w:sz w:val="2"/>
      <w:szCs w:val="2"/>
    </w:rPr>
  </w:style>
  <w:style w:type="character" w:customStyle="1" w:styleId="Small">
    <w:name w:val="Small"/>
    <w:basedOn w:val="DefaultParagraphFont"/>
    <w:rsid w:val="00EB33E0"/>
    <w:rPr>
      <w:sz w:val="16"/>
    </w:rPr>
  </w:style>
  <w:style w:type="paragraph" w:customStyle="1" w:styleId="WideTable">
    <w:name w:val="Wide Table"/>
    <w:basedOn w:val="Normal"/>
    <w:rsid w:val="00EB33E0"/>
    <w:pPr>
      <w:ind w:left="-1418"/>
    </w:pPr>
    <w:rPr>
      <w:sz w:val="2"/>
      <w:szCs w:val="2"/>
    </w:rPr>
  </w:style>
  <w:style w:type="character" w:styleId="PageNumber">
    <w:name w:val="page number"/>
    <w:basedOn w:val="DefaultParagraphFont"/>
    <w:rsid w:val="00EB33E0"/>
  </w:style>
  <w:style w:type="paragraph" w:styleId="Quote">
    <w:name w:val="Quote"/>
    <w:basedOn w:val="Heading1"/>
    <w:link w:val="QuoteChar"/>
    <w:qFormat/>
    <w:rsid w:val="00EB33E0"/>
    <w:rPr>
      <w:b w:val="0"/>
      <w:sz w:val="72"/>
      <w:szCs w:val="72"/>
      <w:lang w:val="en-NZ"/>
    </w:rPr>
  </w:style>
  <w:style w:type="character" w:customStyle="1" w:styleId="QuoteChar">
    <w:name w:val="Quote Char"/>
    <w:basedOn w:val="DefaultParagraphFont"/>
    <w:link w:val="Quote"/>
    <w:rsid w:val="00EB33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3E0"/>
    <w:pPr>
      <w:pageBreakBefore/>
    </w:pPr>
  </w:style>
  <w:style w:type="paragraph" w:customStyle="1" w:styleId="Border">
    <w:name w:val="Border"/>
    <w:basedOn w:val="Normal"/>
    <w:qFormat/>
    <w:rsid w:val="00EB33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3E0"/>
    <w:rPr>
      <w:b/>
      <w:bCs/>
      <w:i/>
      <w:iCs/>
      <w:color w:val="auto"/>
    </w:rPr>
  </w:style>
  <w:style w:type="paragraph" w:styleId="IntenseQuote">
    <w:name w:val="Intense Quote"/>
    <w:basedOn w:val="Normal"/>
    <w:next w:val="Normal"/>
    <w:link w:val="IntenseQuoteChar"/>
    <w:uiPriority w:val="30"/>
    <w:qFormat/>
    <w:rsid w:val="00EB33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3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3E0"/>
    <w:rPr>
      <w:smallCaps/>
      <w:color w:val="auto"/>
      <w:u w:val="single"/>
    </w:rPr>
  </w:style>
  <w:style w:type="character" w:styleId="IntenseReference">
    <w:name w:val="Intense Reference"/>
    <w:basedOn w:val="DefaultParagraphFont"/>
    <w:uiPriority w:val="32"/>
    <w:qFormat/>
    <w:rsid w:val="00EB33E0"/>
    <w:rPr>
      <w:b/>
      <w:bCs/>
      <w:smallCaps/>
      <w:color w:val="auto"/>
      <w:spacing w:val="5"/>
      <w:u w:val="single"/>
    </w:rPr>
  </w:style>
  <w:style w:type="paragraph" w:customStyle="1" w:styleId="2ColumnHeading">
    <w:name w:val="2Column Heading"/>
    <w:basedOn w:val="BodyText"/>
    <w:qFormat/>
    <w:rsid w:val="00EB33E0"/>
    <w:pPr>
      <w:spacing w:after="60"/>
      <w:ind w:left="-2268"/>
    </w:pPr>
    <w:rPr>
      <w:b/>
    </w:rPr>
  </w:style>
  <w:style w:type="paragraph" w:customStyle="1" w:styleId="Heading1TOC">
    <w:name w:val="Heading1 TOC"/>
    <w:basedOn w:val="Normal"/>
    <w:qFormat/>
    <w:rsid w:val="00EB33E0"/>
    <w:pPr>
      <w:spacing w:before="240" w:after="120"/>
    </w:pPr>
    <w:rPr>
      <w:rFonts w:ascii="Times New Roman" w:hAnsi="Times New Roman"/>
      <w:b/>
      <w:sz w:val="32"/>
    </w:rPr>
  </w:style>
  <w:style w:type="paragraph" w:customStyle="1" w:styleId="Heading2TOC">
    <w:name w:val="Heading2 TOC"/>
    <w:basedOn w:val="Normal"/>
    <w:qFormat/>
    <w:rsid w:val="00EB33E0"/>
    <w:pPr>
      <w:spacing w:before="240" w:after="60"/>
    </w:pPr>
    <w:rPr>
      <w:rFonts w:ascii="Times New Roman" w:hAnsi="Times New Roman"/>
      <w:b/>
      <w:sz w:val="28"/>
    </w:rPr>
  </w:style>
  <w:style w:type="character" w:customStyle="1" w:styleId="Underline">
    <w:name w:val="Underline"/>
    <w:basedOn w:val="DefaultParagraphFont"/>
    <w:qFormat/>
    <w:rsid w:val="00EB33E0"/>
    <w:rPr>
      <w:u w:val="single"/>
    </w:rPr>
  </w:style>
  <w:style w:type="character" w:customStyle="1" w:styleId="BoldandItalics">
    <w:name w:val="Bold and Italics"/>
    <w:qFormat/>
    <w:rsid w:val="00EB33E0"/>
    <w:rPr>
      <w:b/>
      <w:i/>
      <w:u w:val="none"/>
    </w:rPr>
  </w:style>
  <w:style w:type="paragraph" w:styleId="BalloonText">
    <w:name w:val="Balloon Text"/>
    <w:basedOn w:val="Normal"/>
    <w:link w:val="BalloonTextChar"/>
    <w:rsid w:val="00EB33E0"/>
    <w:rPr>
      <w:rFonts w:ascii="Tahoma" w:hAnsi="Tahoma" w:cs="Tahoma"/>
      <w:sz w:val="16"/>
      <w:szCs w:val="16"/>
    </w:rPr>
  </w:style>
  <w:style w:type="character" w:customStyle="1" w:styleId="BalloonTextChar">
    <w:name w:val="Balloon Text Char"/>
    <w:basedOn w:val="DefaultParagraphFont"/>
    <w:link w:val="BalloonText"/>
    <w:rsid w:val="00EB33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3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3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3E0"/>
    <w:rPr>
      <w:b/>
      <w:color w:val="660033"/>
      <w:spacing w:val="0"/>
    </w:rPr>
  </w:style>
  <w:style w:type="paragraph" w:customStyle="1" w:styleId="Nameditemlist">
    <w:name w:val="Named item list"/>
    <w:basedOn w:val="BodyText"/>
    <w:qFormat/>
    <w:rsid w:val="00EB33E0"/>
    <w:pPr>
      <w:tabs>
        <w:tab w:val="left" w:pos="2835"/>
      </w:tabs>
      <w:ind w:left="2835" w:hanging="2835"/>
    </w:pPr>
  </w:style>
  <w:style w:type="paragraph" w:customStyle="1" w:styleId="BodyTextnopadding">
    <w:name w:val="Body Text no padding"/>
    <w:basedOn w:val="BodyText"/>
    <w:qFormat/>
    <w:rsid w:val="00EB33E0"/>
    <w:pPr>
      <w:spacing w:before="0" w:after="0"/>
    </w:pPr>
  </w:style>
  <w:style w:type="paragraph" w:customStyle="1" w:styleId="BodyTextBold">
    <w:name w:val="Body Text Bold"/>
    <w:basedOn w:val="BodyText"/>
    <w:qFormat/>
    <w:rsid w:val="00EB33E0"/>
    <w:rPr>
      <w:b/>
    </w:rPr>
  </w:style>
  <w:style w:type="character" w:styleId="Hyperlink">
    <w:name w:val="Hyperlink"/>
    <w:basedOn w:val="DefaultParagraphFont"/>
    <w:uiPriority w:val="99"/>
    <w:unhideWhenUsed/>
    <w:rsid w:val="00282F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7214</Characters>
  <Application>Microsoft Office Word</Application>
  <DocSecurity>0</DocSecurity>
  <Lines>218</Lines>
  <Paragraphs>149</Paragraphs>
  <ScaleCrop>false</ScaleCrop>
  <Company>Author-it Software Corporation Ltd.</Company>
  <LinksUpToDate>false</LinksUpToDate>
  <CharactersWithSpaces>8199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HLTOPD002 Dispense optical appliances</dc:title>
  <dc:subject>Approved</dc:subject>
  <dc:creator>HumanAbility</dc:creator>
  <cp:keywords>Release: 1</cp:keywords>
  <dc:description>Review Date: 12 April 2008</dc:description>
  <cp:lastModifiedBy>HSD_TPCMSd.prod</cp:lastModifiedBy>
  <cp:revision>3</cp:revision>
  <dcterms:created xsi:type="dcterms:W3CDTF">2025-03-01T14:26:00Z</dcterms:created>
  <dcterms:modified xsi:type="dcterms:W3CDTF">2025-03-01T14:26:00Z</dcterms:modified>
</cp:coreProperties>
</file>