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DD3" w:rsidP="00467DD3">
      <w:pPr>
        <w:pStyle w:val="Title"/>
      </w:pPr>
      <w:r>
        <w:fldChar w:fldCharType="begin"/>
      </w:r>
      <w:r>
        <w:instrText xml:space="preserve"> TITLE   \* MERGEFORMAT </w:instrText>
      </w:r>
      <w:r>
        <w:fldChar w:fldCharType="separate"/>
      </w:r>
      <w:r>
        <w:t>Assessment Requirements for HLTOHC011 Apply fluoride varnish</w:t>
      </w:r>
      <w:r>
        <w:fldChar w:fldCharType="end"/>
      </w:r>
    </w:p>
    <w:p w:rsidR="00467DD3" w:rsidP="00467DD3">
      <w:pPr>
        <w:pStyle w:val="Version"/>
        <w:sectPr w:rsidSect="00FA5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A530F" w:rsidP="00FA530F">
      <w:pPr>
        <w:pStyle w:val="SuperHeading"/>
      </w:pPr>
      <w:r w:rsidRPr="00FA530F">
        <w:t>Assessment Requirements for HLTOHC011 Apply fluoride varnish</w:t>
      </w:r>
    </w:p>
    <w:p w:rsidR="00000000" w:rsidRPr="00FA530F" w:rsidP="00FA530F">
      <w:pPr>
        <w:pStyle w:val="Heading1"/>
      </w:pPr>
      <w:bookmarkStart w:id="1" w:name="O_1214079"/>
      <w:bookmarkEnd w:id="1"/>
      <w:r w:rsidRPr="00FA530F">
        <w:t>Modification History</w:t>
      </w:r>
    </w:p>
    <w:tbl>
      <w:tblPr>
        <w:tblW w:w="0" w:type="auto"/>
        <w:tblLayout w:type="fixed"/>
        <w:tblCellMar>
          <w:left w:w="62" w:type="dxa"/>
          <w:right w:w="62" w:type="dxa"/>
        </w:tblCellMar>
        <w:tblLook w:val="0000"/>
      </w:tblPr>
      <w:tblGrid>
        <w:gridCol w:w="1890"/>
        <w:gridCol w:w="7224"/>
      </w:tblGrid>
      <w:tr w:rsidTr="00467D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RPr="00FA530F" w:rsidP="00FA530F">
            <w:pPr>
              <w:pStyle w:val="BodyText"/>
            </w:pPr>
            <w:r w:rsidRPr="00FA530F">
              <w:rPr>
                <w:rStyle w:val="SpecialBold"/>
              </w:rPr>
              <w:t>Release</w:t>
            </w:r>
          </w:p>
        </w:tc>
        <w:tc>
          <w:tcPr>
            <w:tcW w:w="7224" w:type="dxa"/>
            <w:tcBorders>
              <w:top w:val="nil"/>
              <w:left w:val="nil"/>
              <w:bottom w:val="nil"/>
              <w:right w:val="nil"/>
            </w:tcBorders>
            <w:tcMar>
              <w:top w:w="0" w:type="dxa"/>
              <w:left w:w="62" w:type="dxa"/>
              <w:bottom w:w="0" w:type="dxa"/>
              <w:right w:w="62" w:type="dxa"/>
            </w:tcMar>
            <w:vAlign w:val="center"/>
          </w:tcPr>
          <w:p w:rsidR="00000000" w:rsidP="00FA530F">
            <w:pPr>
              <w:pStyle w:val="BodyText"/>
              <w:rPr>
                <w:lang w:val="en-NZ"/>
              </w:rPr>
            </w:pPr>
            <w:r w:rsidRPr="00FA530F">
              <w:rPr>
                <w:rStyle w:val="SpecialBold"/>
              </w:rPr>
              <w:t>Comments</w:t>
            </w:r>
          </w:p>
        </w:tc>
      </w:tr>
      <w:tr w:rsidTr="00467DD3">
        <w:tblPrEx>
          <w:tblW w:w="0" w:type="auto"/>
          <w:tblLayout w:type="fixed"/>
          <w:tblCellMar>
            <w:left w:w="62" w:type="dxa"/>
            <w:right w:w="62" w:type="dxa"/>
          </w:tblCellMar>
          <w:tblLook w:val="0000"/>
        </w:tblPrEx>
        <w:trPr>
          <w:trHeight w:val="1162"/>
        </w:trPr>
        <w:tc>
          <w:tcPr>
            <w:tcW w:w="1890" w:type="dxa"/>
            <w:tcBorders>
              <w:top w:val="nil"/>
              <w:left w:val="nil"/>
              <w:bottom w:val="nil"/>
              <w:right w:val="nil"/>
            </w:tcBorders>
            <w:tcMar>
              <w:top w:w="0" w:type="dxa"/>
              <w:left w:w="62" w:type="dxa"/>
              <w:bottom w:w="0" w:type="dxa"/>
              <w:right w:w="62" w:type="dxa"/>
            </w:tcMar>
          </w:tcPr>
          <w:p w:rsidR="00000000" w:rsidP="00FA530F">
            <w:pPr>
              <w:pStyle w:val="BodyText"/>
              <w:rPr>
                <w:lang w:val="en-NZ"/>
              </w:rPr>
            </w:pPr>
            <w:r w:rsidRPr="00FA530F">
              <w:t>Release 3</w:t>
            </w:r>
          </w:p>
        </w:tc>
        <w:tc>
          <w:tcPr>
            <w:tcW w:w="7224" w:type="dxa"/>
            <w:tcBorders>
              <w:top w:val="nil"/>
              <w:left w:val="nil"/>
              <w:bottom w:val="nil"/>
              <w:right w:val="nil"/>
            </w:tcBorders>
            <w:tcMar>
              <w:top w:w="0" w:type="dxa"/>
              <w:left w:w="62" w:type="dxa"/>
              <w:bottom w:w="0" w:type="dxa"/>
              <w:right w:w="62" w:type="dxa"/>
            </w:tcMar>
          </w:tcPr>
          <w:p w:rsidR="00000000" w:rsidRPr="00FA530F" w:rsidP="00FA530F">
            <w:pPr>
              <w:pStyle w:val="BodyText"/>
            </w:pPr>
            <w:r w:rsidRPr="00FA530F">
              <w:t>Supersedes and is equivalent to Release 2 HLTOHC011 Apply fluoride varnish.</w:t>
            </w:r>
          </w:p>
          <w:p w:rsidR="00000000" w:rsidP="00FA530F">
            <w:pPr>
              <w:pStyle w:val="BodyText"/>
              <w:rPr>
                <w:lang w:val="en-NZ"/>
              </w:rPr>
            </w:pPr>
            <w:r w:rsidRPr="00FA530F">
              <w:t>Updated: Mapping details</w:t>
            </w:r>
          </w:p>
        </w:tc>
      </w:tr>
      <w:tr w:rsidTr="00467DD3">
        <w:tblPrEx>
          <w:tblW w:w="0" w:type="auto"/>
          <w:tblLayout w:type="fixed"/>
          <w:tblCellMar>
            <w:left w:w="62" w:type="dxa"/>
            <w:right w:w="62" w:type="dxa"/>
          </w:tblCellMar>
          <w:tblLook w:val="0000"/>
        </w:tblPrEx>
        <w:trPr>
          <w:trHeight w:val="1147"/>
        </w:trPr>
        <w:tc>
          <w:tcPr>
            <w:tcW w:w="1890" w:type="dxa"/>
            <w:tcBorders>
              <w:top w:val="nil"/>
              <w:left w:val="nil"/>
              <w:bottom w:val="nil"/>
              <w:right w:val="nil"/>
            </w:tcBorders>
            <w:tcMar>
              <w:top w:w="0" w:type="dxa"/>
              <w:left w:w="62" w:type="dxa"/>
              <w:bottom w:w="0" w:type="dxa"/>
              <w:right w:w="62" w:type="dxa"/>
            </w:tcMar>
          </w:tcPr>
          <w:p w:rsidR="00000000" w:rsidP="00FA530F">
            <w:pPr>
              <w:pStyle w:val="BodyText"/>
              <w:rPr>
                <w:lang w:val="en-NZ"/>
              </w:rPr>
            </w:pPr>
            <w:r w:rsidRPr="00FA530F">
              <w:t>Release 2</w:t>
            </w:r>
          </w:p>
        </w:tc>
        <w:tc>
          <w:tcPr>
            <w:tcW w:w="7224" w:type="dxa"/>
            <w:tcBorders>
              <w:top w:val="nil"/>
              <w:left w:val="nil"/>
              <w:bottom w:val="nil"/>
              <w:right w:val="nil"/>
            </w:tcBorders>
            <w:tcMar>
              <w:top w:w="0" w:type="dxa"/>
              <w:left w:w="62" w:type="dxa"/>
              <w:bottom w:w="0" w:type="dxa"/>
              <w:right w:w="62" w:type="dxa"/>
            </w:tcMar>
          </w:tcPr>
          <w:p w:rsidR="00000000" w:rsidRPr="00FA530F" w:rsidP="00FA530F">
            <w:pPr>
              <w:pStyle w:val="BodyText"/>
            </w:pPr>
            <w:r w:rsidRPr="00FA530F">
              <w:t>Supersedes and is equivalent to Release 1 HLTOHC011 Apply fluoride varnish.</w:t>
            </w:r>
          </w:p>
          <w:p w:rsidR="00000000" w:rsidP="00FA530F">
            <w:pPr>
              <w:pStyle w:val="BodyText"/>
              <w:rPr>
                <w:lang w:val="en-NZ"/>
              </w:rPr>
            </w:pPr>
            <w:r w:rsidRPr="00FA530F">
              <w:t>U</w:t>
            </w:r>
            <w:r w:rsidRPr="00FA530F">
              <w:t>pdated: Mapping details and minor corrections</w:t>
            </w:r>
          </w:p>
        </w:tc>
      </w:tr>
      <w:tr w:rsidTr="00467DD3">
        <w:tblPrEx>
          <w:tblW w:w="0" w:type="auto"/>
          <w:tblLayout w:type="fixed"/>
          <w:tblCellMar>
            <w:left w:w="62" w:type="dxa"/>
            <w:right w:w="62" w:type="dxa"/>
          </w:tblCellMar>
          <w:tblLook w:val="0000"/>
        </w:tblPrEx>
        <w:trPr>
          <w:trHeight w:val="742"/>
        </w:trPr>
        <w:tc>
          <w:tcPr>
            <w:tcW w:w="1890" w:type="dxa"/>
            <w:tcBorders>
              <w:top w:val="nil"/>
              <w:left w:val="nil"/>
              <w:bottom w:val="nil"/>
              <w:right w:val="nil"/>
            </w:tcBorders>
            <w:tcMar>
              <w:top w:w="0" w:type="dxa"/>
              <w:left w:w="62" w:type="dxa"/>
              <w:bottom w:w="0" w:type="dxa"/>
              <w:right w:w="62" w:type="dxa"/>
            </w:tcMar>
          </w:tcPr>
          <w:p w:rsidR="00000000" w:rsidP="00FA530F">
            <w:pPr>
              <w:pStyle w:val="BodyText"/>
              <w:rPr>
                <w:lang w:val="en-NZ"/>
              </w:rPr>
            </w:pPr>
            <w:r w:rsidRPr="00FA530F">
              <w:t>Release 1</w:t>
            </w:r>
          </w:p>
        </w:tc>
        <w:tc>
          <w:tcPr>
            <w:tcW w:w="7224" w:type="dxa"/>
            <w:tcBorders>
              <w:top w:val="nil"/>
              <w:left w:val="nil"/>
              <w:bottom w:val="nil"/>
              <w:right w:val="nil"/>
            </w:tcBorders>
            <w:tcMar>
              <w:top w:w="0" w:type="dxa"/>
              <w:left w:w="62" w:type="dxa"/>
              <w:bottom w:w="0" w:type="dxa"/>
              <w:right w:w="62" w:type="dxa"/>
            </w:tcMar>
          </w:tcPr>
          <w:p w:rsidR="00000000" w:rsidRPr="00FA530F" w:rsidP="00FA530F">
            <w:pPr>
              <w:pStyle w:val="BodyText"/>
            </w:pPr>
            <w:r w:rsidRPr="00FA530F">
              <w:t>HLTOHC011 Apply fluoride varnish supersedes and is equivalent to HLTOHC006 Apply fluoride varnish.</w:t>
            </w:r>
          </w:p>
        </w:tc>
      </w:tr>
    </w:tbl>
    <w:p w:rsidR="00000000" w:rsidRPr="00FA530F" w:rsidP="00FA530F">
      <w:pPr>
        <w:pStyle w:val="BodyText"/>
      </w:pPr>
    </w:p>
    <w:p w:rsidR="00000000" w:rsidRPr="00FA530F" w:rsidP="00FA530F">
      <w:pPr>
        <w:pStyle w:val="AllowPageBreak"/>
      </w:pPr>
    </w:p>
    <w:p w:rsidR="00000000" w:rsidRPr="00FA530F" w:rsidP="00FA530F">
      <w:pPr>
        <w:pStyle w:val="Heading1"/>
      </w:pPr>
      <w:bookmarkStart w:id="2" w:name="O_1214078"/>
      <w:bookmarkEnd w:id="2"/>
      <w:r w:rsidRPr="00FA530F">
        <w:t>Performance Evidence</w:t>
      </w:r>
    </w:p>
    <w:p w:rsidR="00000000" w:rsidRPr="00FA530F" w:rsidP="00467DD3">
      <w:pPr>
        <w:pStyle w:val="BodyText"/>
      </w:pPr>
      <w:r w:rsidRPr="00FA530F">
        <w:t>Evidence of the ability to complete tasks outlined in elements and performance criteria of this unit in the context of the job role, and:</w:t>
      </w:r>
    </w:p>
    <w:p w:rsidR="00000000" w:rsidRPr="00FA530F" w:rsidP="00FA530F">
      <w:pPr>
        <w:pStyle w:val="ListBullet"/>
      </w:pPr>
      <w:r w:rsidRPr="00FA530F">
        <w:t>apply fluoride varnish safely and effectively to at least five people in line with product guidelines, jurisdictional</w:t>
      </w:r>
      <w:r w:rsidRPr="00FA530F">
        <w:t xml:space="preserve"> legislation and regulation relating to fluoride schedule, supply, authorisation and disposal, including: </w:t>
      </w:r>
    </w:p>
    <w:p w:rsidR="00000000" w:rsidRPr="00FA530F" w:rsidP="00FA530F">
      <w:pPr>
        <w:pStyle w:val="ListBullet2"/>
      </w:pPr>
      <w:r w:rsidRPr="00FA530F">
        <w:t>preparing self and the patient using personal protective equipment against risks associated with the use of fluoride varnish</w:t>
      </w:r>
    </w:p>
    <w:p w:rsidR="00000000" w:rsidRPr="00FA530F" w:rsidP="00FA530F">
      <w:pPr>
        <w:pStyle w:val="ListBullet2"/>
      </w:pPr>
      <w:r w:rsidRPr="00FA530F">
        <w:t>identifying and responding to risks associated with applying fluoride varnish.</w:t>
      </w:r>
    </w:p>
    <w:p w:rsidR="00000000" w:rsidRPr="00FA530F" w:rsidP="00FA530F">
      <w:pPr>
        <w:pStyle w:val="AllowPageBreak"/>
      </w:pPr>
    </w:p>
    <w:p w:rsidR="00000000" w:rsidRPr="00FA530F" w:rsidP="00FA530F">
      <w:pPr>
        <w:pStyle w:val="Heading1"/>
      </w:pPr>
      <w:bookmarkStart w:id="3" w:name="O_1214077"/>
      <w:bookmarkEnd w:id="3"/>
      <w:r w:rsidRPr="00FA530F">
        <w:t>Knowledge Evidence</w:t>
      </w:r>
    </w:p>
    <w:p w:rsidR="00000000" w:rsidRPr="00FA530F" w:rsidP="00467DD3">
      <w:pPr>
        <w:pStyle w:val="BodyText"/>
      </w:pPr>
      <w:r w:rsidRPr="00FA530F">
        <w:t>Demonstrated knowledge required to complete the tasks outlined in elements and performance criteria of this unit:</w:t>
      </w:r>
    </w:p>
    <w:p w:rsidR="00000000" w:rsidRPr="00FA530F" w:rsidP="00FA530F">
      <w:pPr>
        <w:pStyle w:val="ListBullet"/>
      </w:pPr>
      <w:r w:rsidRPr="00FA530F">
        <w:t>characteristics and uses</w:t>
      </w:r>
      <w:r w:rsidRPr="00FA530F">
        <w:t xml:space="preserve"> of fluoride varnish including:</w:t>
      </w:r>
    </w:p>
    <w:p w:rsidR="00000000" w:rsidRPr="00FA530F" w:rsidP="00FA530F">
      <w:pPr>
        <w:pStyle w:val="ListBullet2"/>
      </w:pPr>
      <w:r w:rsidRPr="00FA530F">
        <w:t>topical fluoride therapy for enamel, dentine or cementum of tooth</w:t>
      </w:r>
    </w:p>
    <w:p w:rsidR="00000000" w:rsidRPr="00FA530F" w:rsidP="00FA530F">
      <w:pPr>
        <w:pStyle w:val="ListBullet2"/>
      </w:pPr>
      <w:r w:rsidRPr="00FA530F">
        <w:t>non-permanent, but adherent nature to stay in contact with tooth surface for several hours</w:t>
      </w:r>
    </w:p>
    <w:p w:rsidR="00000000" w:rsidRPr="00FA530F" w:rsidP="00FA530F">
      <w:pPr>
        <w:pStyle w:val="ListBullet2"/>
      </w:pPr>
      <w:r w:rsidRPr="00FA530F">
        <w:t>use in prevention of decay</w:t>
      </w:r>
    </w:p>
    <w:p w:rsidR="00000000" w:rsidRPr="00FA530F" w:rsidP="00FA530F">
      <w:pPr>
        <w:pStyle w:val="ListBullet2"/>
      </w:pPr>
      <w:r w:rsidRPr="00FA530F">
        <w:t>use in remineralising tooth surface</w:t>
      </w:r>
    </w:p>
    <w:p w:rsidR="00000000" w:rsidRPr="00FA530F" w:rsidP="00FA530F">
      <w:pPr>
        <w:pStyle w:val="ListBullet2"/>
      </w:pPr>
      <w:r w:rsidRPr="00FA530F">
        <w:t>use</w:t>
      </w:r>
      <w:r w:rsidRPr="00FA530F">
        <w:t xml:space="preserve"> in treating dentine hypersensitivity</w:t>
      </w:r>
    </w:p>
    <w:p w:rsidR="00000000" w:rsidRPr="00FA530F" w:rsidP="00FA530F">
      <w:pPr>
        <w:pStyle w:val="ListBullet2"/>
      </w:pPr>
      <w:r w:rsidRPr="00FA530F">
        <w:t>risks associated with fluoride varnish</w:t>
      </w:r>
    </w:p>
    <w:p w:rsidR="00000000" w:rsidRPr="00FA530F" w:rsidP="00FA530F">
      <w:pPr>
        <w:pStyle w:val="ListBullet"/>
      </w:pPr>
      <w:r w:rsidRPr="00FA530F">
        <w:t>accessibility to services, including availability of private and public oral health services and eligibility for services</w:t>
      </w:r>
    </w:p>
    <w:p w:rsidR="00000000" w:rsidRPr="00FA530F" w:rsidP="00FA530F">
      <w:pPr>
        <w:pStyle w:val="ListBullet"/>
      </w:pPr>
      <w:r w:rsidRPr="00FA530F">
        <w:t>awareness of relevant jurisdictional legislation and reg</w:t>
      </w:r>
      <w:r w:rsidRPr="00FA530F">
        <w:t>ulation relating to fluoride, including schedule, supply, authorisation and disposal</w:t>
      </w:r>
    </w:p>
    <w:p w:rsidR="00000000" w:rsidRPr="00FA530F" w:rsidP="00FA530F">
      <w:pPr>
        <w:pStyle w:val="ListBullet"/>
      </w:pPr>
      <w:r w:rsidRPr="00FA530F">
        <w:t>processes for correct application of fluoride varnish:</w:t>
      </w:r>
    </w:p>
    <w:p w:rsidR="00000000" w:rsidRPr="00FA530F" w:rsidP="00FA530F">
      <w:pPr>
        <w:pStyle w:val="ListBullet2"/>
      </w:pPr>
      <w:r w:rsidRPr="00FA530F">
        <w:t>keeping client mouth open</w:t>
      </w:r>
    </w:p>
    <w:p w:rsidR="00000000" w:rsidRPr="00FA530F" w:rsidP="00FA530F">
      <w:pPr>
        <w:pStyle w:val="ListBullet2"/>
      </w:pPr>
      <w:r w:rsidRPr="00FA530F">
        <w:t>maintaining moisture control</w:t>
      </w:r>
    </w:p>
    <w:p w:rsidR="00000000" w:rsidRPr="00FA530F" w:rsidP="00FA530F">
      <w:pPr>
        <w:pStyle w:val="ListBullet2"/>
      </w:pPr>
      <w:r w:rsidRPr="00FA530F">
        <w:t>retracting lip and cheek, wiping and applying a thin layer of varnish to the teeth as prescribed in the oral health care plan</w:t>
      </w:r>
    </w:p>
    <w:p w:rsidR="00000000" w:rsidRPr="00FA530F" w:rsidP="00FA530F">
      <w:pPr>
        <w:pStyle w:val="ListBullet2"/>
      </w:pPr>
      <w:r w:rsidRPr="00FA530F">
        <w:t>ensuring varnish is applied without contact with other tissues</w:t>
      </w:r>
    </w:p>
    <w:p w:rsidR="00000000" w:rsidRPr="00FA530F" w:rsidP="00FA530F">
      <w:pPr>
        <w:pStyle w:val="ListBullet2"/>
      </w:pPr>
      <w:r w:rsidRPr="00FA530F">
        <w:t>never dispensing product in excess to that stated in the oral healt</w:t>
      </w:r>
      <w:r w:rsidRPr="00FA530F">
        <w:t>h care plan</w:t>
      </w:r>
    </w:p>
    <w:p w:rsidR="00000000" w:rsidRPr="00FA530F" w:rsidP="00FA530F">
      <w:pPr>
        <w:pStyle w:val="ListBullet"/>
      </w:pPr>
      <w:r w:rsidRPr="00FA530F">
        <w:t>techniques for reflecting on own level of skills and knowledge to achieve desirable outcomes and maintain own capabilities</w:t>
      </w:r>
    </w:p>
    <w:p w:rsidR="00000000" w:rsidRPr="00FA530F" w:rsidP="00FA530F">
      <w:pPr>
        <w:pStyle w:val="ListBullet"/>
      </w:pPr>
      <w:r w:rsidRPr="00FA530F">
        <w:t>basic anatomy and physiology underpinning oral health and hygiene</w:t>
      </w:r>
    </w:p>
    <w:p w:rsidR="00000000" w:rsidRPr="00FA530F" w:rsidP="00FA530F">
      <w:pPr>
        <w:pStyle w:val="ListBullet"/>
      </w:pPr>
      <w:r w:rsidRPr="00FA530F">
        <w:t>causes and prevention of common dental diseases especi</w:t>
      </w:r>
      <w:r w:rsidRPr="00FA530F">
        <w:t>ally dental caries</w:t>
      </w:r>
    </w:p>
    <w:p w:rsidR="00000000" w:rsidRPr="00FA530F" w:rsidP="00FA530F">
      <w:pPr>
        <w:pStyle w:val="ListBullet"/>
      </w:pPr>
      <w:r w:rsidRPr="00FA530F">
        <w:t>common equipment utilised in the application of fluoride</w:t>
      </w:r>
    </w:p>
    <w:p w:rsidR="00000000" w:rsidRPr="00FA530F" w:rsidP="00FA530F">
      <w:pPr>
        <w:pStyle w:val="ListBullet"/>
      </w:pPr>
      <w:r w:rsidRPr="00FA530F">
        <w:t>effective self-care practices for oral health, including cause, control and prevention of dental plaque</w:t>
      </w:r>
    </w:p>
    <w:p w:rsidR="00000000" w:rsidRPr="00FA530F" w:rsidP="00FA530F">
      <w:pPr>
        <w:pStyle w:val="ListBullet"/>
      </w:pPr>
      <w:r w:rsidRPr="00FA530F">
        <w:t>emergency procedures that may be required during the application of fluoride</w:t>
      </w:r>
      <w:r w:rsidRPr="00FA530F">
        <w:t xml:space="preserve"> varnish</w:t>
      </w:r>
    </w:p>
    <w:p w:rsidR="00000000" w:rsidRPr="00FA530F" w:rsidP="00FA530F">
      <w:pPr>
        <w:pStyle w:val="ListBullet"/>
      </w:pPr>
      <w:r w:rsidRPr="00FA530F">
        <w:t>factors that impact on oral health, including:</w:t>
      </w:r>
    </w:p>
    <w:p w:rsidR="00000000" w:rsidRPr="00FA530F" w:rsidP="00FA530F">
      <w:pPr>
        <w:pStyle w:val="ListBullet2"/>
      </w:pPr>
      <w:r w:rsidRPr="00FA530F">
        <w:t>abuse including neglect of oral health needs</w:t>
      </w:r>
    </w:p>
    <w:p w:rsidR="00000000" w:rsidRPr="00FA530F" w:rsidP="00FA530F">
      <w:pPr>
        <w:pStyle w:val="ListBullet2"/>
      </w:pPr>
      <w:r w:rsidRPr="00FA530F">
        <w:t>access to dental and health services</w:t>
      </w:r>
    </w:p>
    <w:p w:rsidR="00000000" w:rsidRPr="00FA530F" w:rsidP="00FA530F">
      <w:pPr>
        <w:pStyle w:val="ListBullet2"/>
      </w:pPr>
      <w:r w:rsidRPr="00FA530F">
        <w:t>alcohol, licit and illicit drugs and substances over the counter and herbal treatments</w:t>
      </w:r>
    </w:p>
    <w:p w:rsidR="00000000" w:rsidRPr="00FA530F" w:rsidP="00FA530F">
      <w:pPr>
        <w:pStyle w:val="ListBullet2"/>
      </w:pPr>
      <w:r w:rsidRPr="00FA530F">
        <w:t>bacteria in dental plaque</w:t>
      </w:r>
    </w:p>
    <w:p w:rsidR="00000000" w:rsidRPr="00FA530F" w:rsidP="00FA530F">
      <w:pPr>
        <w:pStyle w:val="ListBullet2"/>
      </w:pPr>
      <w:r w:rsidRPr="00FA530F">
        <w:t>correct infant feeding practices</w:t>
      </w:r>
    </w:p>
    <w:p w:rsidR="00000000" w:rsidRPr="00FA530F" w:rsidP="00FA530F">
      <w:pPr>
        <w:pStyle w:val="ListBullet2"/>
      </w:pPr>
      <w:r w:rsidRPr="00FA530F">
        <w:t>damage from habitual grinding of teeth</w:t>
      </w:r>
    </w:p>
    <w:p w:rsidR="00000000" w:rsidRPr="00FA530F" w:rsidP="00FA530F">
      <w:pPr>
        <w:pStyle w:val="ListBullet2"/>
      </w:pPr>
      <w:r w:rsidRPr="00FA530F">
        <w:t>diet and nutrition, including fluids and excessive intake of sugar</w:t>
      </w:r>
    </w:p>
    <w:p w:rsidR="00000000" w:rsidRPr="00FA530F" w:rsidP="00FA530F">
      <w:pPr>
        <w:pStyle w:val="ListBullet2"/>
      </w:pPr>
      <w:r w:rsidRPr="00FA530F">
        <w:t>fluoride</w:t>
      </w:r>
    </w:p>
    <w:p w:rsidR="00000000" w:rsidRPr="00FA530F" w:rsidP="00FA530F">
      <w:pPr>
        <w:pStyle w:val="ListBullet2"/>
      </w:pPr>
      <w:r w:rsidRPr="00FA530F">
        <w:t>general health and wellbeing.</w:t>
      </w:r>
    </w:p>
    <w:p w:rsidR="00000000" w:rsidRPr="00FA530F" w:rsidP="00FA530F">
      <w:pPr>
        <w:pStyle w:val="ListBullet2"/>
      </w:pPr>
      <w:r w:rsidRPr="00FA530F">
        <w:t>immunosuppressant conditions, HIV, chemotherapy and radiation</w:t>
      </w:r>
    </w:p>
    <w:p w:rsidR="00000000" w:rsidRPr="00FA530F" w:rsidP="00FA530F">
      <w:pPr>
        <w:pStyle w:val="ListBullet2"/>
      </w:pPr>
      <w:r w:rsidRPr="00FA530F">
        <w:t>injury to mouth,</w:t>
      </w:r>
      <w:r w:rsidRPr="00FA530F">
        <w:t xml:space="preserve"> including from a seizure</w:t>
      </w:r>
    </w:p>
    <w:p w:rsidR="00000000" w:rsidRPr="00FA530F" w:rsidP="00FA530F">
      <w:pPr>
        <w:pStyle w:val="ListBullet2"/>
      </w:pPr>
      <w:r w:rsidRPr="00FA530F">
        <w:t>medical history</w:t>
      </w:r>
    </w:p>
    <w:p w:rsidR="00000000" w:rsidRPr="00FA530F" w:rsidP="00FA530F">
      <w:pPr>
        <w:pStyle w:val="ListBullet2"/>
      </w:pPr>
      <w:r w:rsidRPr="00FA530F">
        <w:t>oral piercings</w:t>
      </w:r>
    </w:p>
    <w:p w:rsidR="00000000" w:rsidRPr="00FA530F" w:rsidP="00FA530F">
      <w:pPr>
        <w:pStyle w:val="ListBullet2"/>
      </w:pPr>
      <w:r w:rsidRPr="00FA530F">
        <w:t>patient oral health information</w:t>
      </w:r>
    </w:p>
    <w:p w:rsidR="00000000" w:rsidRPr="00FA530F" w:rsidP="00FA530F">
      <w:pPr>
        <w:pStyle w:val="ListBullet2"/>
      </w:pPr>
      <w:r w:rsidRPr="00FA530F">
        <w:t>presence of plaque and calculus</w:t>
      </w:r>
    </w:p>
    <w:p w:rsidR="00000000" w:rsidRPr="00FA530F" w:rsidP="00FA530F">
      <w:pPr>
        <w:pStyle w:val="ListBullet2"/>
      </w:pPr>
      <w:r w:rsidRPr="00FA530F">
        <w:t>psychological issues, including fear of being seen without dentures or persisting with ill-fitting dentures for satisfaction of others</w:t>
      </w:r>
    </w:p>
    <w:p w:rsidR="00000000" w:rsidRPr="00FA530F" w:rsidP="00FA530F">
      <w:pPr>
        <w:pStyle w:val="ListBullet2"/>
      </w:pPr>
      <w:r w:rsidRPr="00FA530F">
        <w:t>salivary function</w:t>
      </w:r>
    </w:p>
    <w:p w:rsidR="00000000" w:rsidRPr="00FA530F" w:rsidP="00FA530F">
      <w:pPr>
        <w:pStyle w:val="ListBullet2"/>
      </w:pPr>
      <w:r w:rsidRPr="00FA530F">
        <w:t>smoking</w:t>
      </w:r>
    </w:p>
    <w:p w:rsidR="00000000" w:rsidRPr="00FA530F" w:rsidP="00FA530F">
      <w:pPr>
        <w:pStyle w:val="ListBullet2"/>
      </w:pPr>
      <w:r w:rsidRPr="00FA530F">
        <w:t>social and cultural determinants of health</w:t>
      </w:r>
    </w:p>
    <w:p w:rsidR="00000000" w:rsidRPr="00FA530F" w:rsidP="00FA530F">
      <w:pPr>
        <w:pStyle w:val="ListBullet2"/>
      </w:pPr>
      <w:r w:rsidRPr="00FA530F">
        <w:t>susceptible tooth surfaces</w:t>
      </w:r>
    </w:p>
    <w:p w:rsidR="00000000" w:rsidRPr="00FA530F" w:rsidP="00FA530F">
      <w:pPr>
        <w:pStyle w:val="ListBullet2"/>
      </w:pPr>
      <w:r w:rsidRPr="00FA530F">
        <w:t>transmission of bacteria particularly from family or carer to child</w:t>
      </w:r>
    </w:p>
    <w:p w:rsidR="00000000" w:rsidRPr="00FA530F" w:rsidP="00FA530F">
      <w:pPr>
        <w:pStyle w:val="ListBullet2"/>
      </w:pPr>
      <w:r w:rsidRPr="00FA530F">
        <w:t>teeth misalignment causing trauma to teeth</w:t>
      </w:r>
    </w:p>
    <w:p w:rsidR="00000000" w:rsidRPr="00FA530F" w:rsidP="00FA530F">
      <w:pPr>
        <w:pStyle w:val="ListBullet2"/>
      </w:pPr>
      <w:r w:rsidRPr="00FA530F">
        <w:t>trauma to the mouth as a result of an accident</w:t>
      </w:r>
    </w:p>
    <w:p w:rsidR="00000000" w:rsidRPr="00FA530F" w:rsidP="00FA530F">
      <w:pPr>
        <w:pStyle w:val="ListBullet"/>
      </w:pPr>
      <w:r w:rsidRPr="00FA530F">
        <w:t>w</w:t>
      </w:r>
      <w:r w:rsidRPr="00FA530F">
        <w:t>ork health and safety (WHS) issues and procedures, including those related to manual handling of fluoride varnish and personal safety and security risks associated with provision of fluoride varnish application</w:t>
      </w:r>
    </w:p>
    <w:p w:rsidR="00000000" w:rsidRPr="00FA530F" w:rsidP="00FA530F">
      <w:pPr>
        <w:pStyle w:val="ListBullet"/>
      </w:pPr>
      <w:r w:rsidRPr="00FA530F">
        <w:t>current Dental Board of Australia (DBA) infection control and record keeping guidelines</w:t>
      </w:r>
    </w:p>
    <w:p w:rsidR="00000000" w:rsidRPr="00FA530F" w:rsidP="00FA530F">
      <w:pPr>
        <w:pStyle w:val="ListBullet"/>
      </w:pPr>
      <w:r w:rsidRPr="00FA530F">
        <w:t>National and State or Territory infection control guidelines and procedures</w:t>
      </w:r>
    </w:p>
    <w:p w:rsidR="00000000" w:rsidRPr="00FA530F" w:rsidP="00FA530F">
      <w:pPr>
        <w:pStyle w:val="ListBullet"/>
      </w:pPr>
      <w:r w:rsidRPr="00FA530F">
        <w:t>correct use of personal protective equipment</w:t>
      </w:r>
    </w:p>
    <w:p w:rsidR="00000000" w:rsidRPr="00FA530F" w:rsidP="00FA530F">
      <w:pPr>
        <w:pStyle w:val="ListBullet"/>
      </w:pPr>
      <w:r w:rsidRPr="00FA530F">
        <w:t>own work role and responsibilities in the appli</w:t>
      </w:r>
      <w:r w:rsidRPr="00FA530F">
        <w:t xml:space="preserve">cation of fluoride varnish </w:t>
      </w:r>
    </w:p>
    <w:p w:rsidR="00000000" w:rsidRPr="00FA530F" w:rsidP="00FA530F">
      <w:pPr>
        <w:pStyle w:val="ListBullet"/>
      </w:pPr>
      <w:r w:rsidRPr="00FA530F">
        <w:t>principles and practices of confidentiality, privacy and consent of fluoride treatment</w:t>
      </w:r>
    </w:p>
    <w:p w:rsidR="00000000" w:rsidRPr="00FA530F" w:rsidP="00FA530F">
      <w:pPr>
        <w:pStyle w:val="ListBullet"/>
      </w:pPr>
      <w:r w:rsidRPr="00FA530F">
        <w:t>evaluation criteria for monitoring effectiveness of fluoride varnish application program</w:t>
      </w:r>
    </w:p>
    <w:p w:rsidR="00000000" w:rsidRPr="00FA530F" w:rsidP="00FA530F">
      <w:pPr>
        <w:pStyle w:val="ListBullet"/>
      </w:pPr>
      <w:r w:rsidRPr="00FA530F">
        <w:t>role of significant others in supporting patient’s o</w:t>
      </w:r>
      <w:r w:rsidRPr="00FA530F">
        <w:t>ral health care needs</w:t>
      </w:r>
    </w:p>
    <w:p w:rsidR="00000000" w:rsidRPr="00FA530F" w:rsidP="00FA530F">
      <w:pPr>
        <w:pStyle w:val="ListBullet"/>
      </w:pPr>
      <w:r w:rsidRPr="00FA530F">
        <w:t>safe application of fluoride varnish</w:t>
      </w:r>
    </w:p>
    <w:p w:rsidR="00000000" w:rsidRPr="00FA530F" w:rsidP="00FA530F">
      <w:pPr>
        <w:pStyle w:val="ListBullet"/>
      </w:pPr>
      <w:r w:rsidRPr="00FA530F">
        <w:t>safe storage of products</w:t>
      </w:r>
    </w:p>
    <w:p w:rsidR="00000000" w:rsidRPr="00FA530F" w:rsidP="00FA530F">
      <w:pPr>
        <w:pStyle w:val="ListBullet"/>
      </w:pPr>
      <w:r w:rsidRPr="00FA530F">
        <w:t>relationship between oral health and general health</w:t>
      </w:r>
    </w:p>
    <w:p w:rsidR="00000000" w:rsidRPr="00FA530F" w:rsidP="00FA530F">
      <w:pPr>
        <w:pStyle w:val="ListBullet"/>
      </w:pPr>
      <w:r w:rsidRPr="00FA530F">
        <w:t>organisational policies and procedures for documentation and reporting.</w:t>
      </w:r>
    </w:p>
    <w:p w:rsidR="00000000" w:rsidRPr="00FA530F" w:rsidP="00FA530F">
      <w:pPr>
        <w:pStyle w:val="AllowPageBreak"/>
      </w:pPr>
    </w:p>
    <w:p w:rsidR="00000000" w:rsidRPr="00FA530F" w:rsidP="00FA530F">
      <w:pPr>
        <w:pStyle w:val="Heading1"/>
      </w:pPr>
      <w:bookmarkStart w:id="4" w:name="O_1214076"/>
      <w:bookmarkEnd w:id="4"/>
      <w:r w:rsidRPr="00FA530F">
        <w:t>Assessment Conditions</w:t>
      </w:r>
    </w:p>
    <w:p w:rsidR="00000000" w:rsidRPr="00FA530F" w:rsidP="00467DD3">
      <w:pPr>
        <w:pStyle w:val="BodyText"/>
      </w:pPr>
      <w:r w:rsidRPr="00FA530F">
        <w:t xml:space="preserve">Skills </w:t>
      </w:r>
      <w:r w:rsidRPr="00FA530F">
        <w:t xml:space="preserve">must be demonstrated in the workplace with the addition of simulations and scenarios where the full range of contexts and situations cannot be provided in the workplace or may occur only rarely. </w:t>
      </w:r>
    </w:p>
    <w:p w:rsidR="00000000" w:rsidRPr="00FA530F" w:rsidP="00467DD3">
      <w:pPr>
        <w:pStyle w:val="BodyText"/>
      </w:pPr>
      <w:r w:rsidRPr="00FA530F">
        <w:t>The following aspect of the performance evidence must have b</w:t>
      </w:r>
      <w:r w:rsidRPr="00FA530F">
        <w:t>een demonstrated using simulation prior to demonstration in the workplace or with members of the general public.</w:t>
      </w:r>
    </w:p>
    <w:p w:rsidR="00000000" w:rsidRPr="00FA530F" w:rsidP="00FA530F">
      <w:pPr>
        <w:pStyle w:val="ListBullet"/>
      </w:pPr>
      <w:r w:rsidRPr="00FA530F">
        <w:t>apply fluoride varnish safely and effectively.</w:t>
      </w:r>
    </w:p>
    <w:p w:rsidR="00000000" w:rsidRPr="00FA530F" w:rsidP="00467DD3">
      <w:pPr>
        <w:pStyle w:val="BodyText"/>
      </w:pPr>
      <w:r w:rsidRPr="00FA530F">
        <w:t>Note: Where State or Territory legislation prevents practice in the workplace, simulated assess</w:t>
      </w:r>
      <w:r w:rsidRPr="00FA530F">
        <w:t>ment environments may be used in place of workplace assessment.</w:t>
      </w:r>
    </w:p>
    <w:p w:rsidR="00000000" w:rsidRPr="00FA530F" w:rsidP="00467DD3">
      <w:pPr>
        <w:pStyle w:val="BodyText"/>
      </w:pPr>
      <w:r w:rsidRPr="00FA530F">
        <w:t>Assessment must ensure:</w:t>
      </w:r>
    </w:p>
    <w:p w:rsidR="00000000" w:rsidRPr="00FA530F" w:rsidP="00FA530F">
      <w:pPr>
        <w:pStyle w:val="ListBullet"/>
      </w:pPr>
      <w:r w:rsidRPr="00FA530F">
        <w:t xml:space="preserve">access to suitable equipment and resources, including: </w:t>
      </w:r>
    </w:p>
    <w:p w:rsidR="00000000" w:rsidRPr="00FA530F" w:rsidP="00FA530F">
      <w:pPr>
        <w:pStyle w:val="ListBullet2"/>
      </w:pPr>
      <w:r w:rsidRPr="00FA530F">
        <w:t>appropriate personal protective equipment (PPE)</w:t>
      </w:r>
    </w:p>
    <w:p w:rsidR="00000000" w:rsidRPr="00FA530F" w:rsidP="00FA530F">
      <w:pPr>
        <w:pStyle w:val="ListBullet2"/>
      </w:pPr>
      <w:r w:rsidRPr="00FA530F">
        <w:t>oral hygiene self-care aids and technique</w:t>
      </w:r>
    </w:p>
    <w:p w:rsidR="00000000" w:rsidRPr="00FA530F" w:rsidP="00FA530F">
      <w:pPr>
        <w:pStyle w:val="ListBullet2"/>
      </w:pPr>
      <w:r w:rsidRPr="00FA530F">
        <w:t>placebo fluoride varnish</w:t>
      </w:r>
    </w:p>
    <w:p w:rsidR="00000000" w:rsidRPr="00FA530F" w:rsidP="00FA530F">
      <w:pPr>
        <w:pStyle w:val="ListBullet2"/>
      </w:pPr>
      <w:r w:rsidRPr="00FA530F">
        <w:t>specialised equipment utilised in the application of fluoride varnish</w:t>
      </w:r>
    </w:p>
    <w:p w:rsidR="00000000" w:rsidRPr="00FA530F" w:rsidP="00FA530F">
      <w:pPr>
        <w:pStyle w:val="ListBullet"/>
      </w:pPr>
      <w:r w:rsidRPr="00FA530F">
        <w:t>access to current Dental Board of Australia (DBA) and Australian Health Practitioner Regulation Agency (AHPRA) guidelines and practice standards</w:t>
      </w:r>
    </w:p>
    <w:p w:rsidR="00000000" w:rsidRPr="00FA530F" w:rsidP="00FA530F">
      <w:pPr>
        <w:pStyle w:val="ListBullet"/>
      </w:pPr>
      <w:r w:rsidRPr="00FA530F">
        <w:t>access to curre</w:t>
      </w:r>
      <w:r w:rsidRPr="00FA530F">
        <w:t>nt Dental Board of Australia (DBA) infection control and record keeping guidelines</w:t>
      </w:r>
    </w:p>
    <w:p w:rsidR="00000000" w:rsidRPr="00FA530F" w:rsidP="00FA530F">
      <w:pPr>
        <w:pStyle w:val="ListBullet"/>
      </w:pPr>
      <w:r w:rsidRPr="00FA530F">
        <w:t>access to National and State or Territory infection control guidelines and procedures</w:t>
      </w:r>
    </w:p>
    <w:p w:rsidR="00000000" w:rsidRPr="00FA530F" w:rsidP="00FA530F">
      <w:pPr>
        <w:pStyle w:val="ListBullet"/>
      </w:pPr>
      <w:r w:rsidRPr="00FA530F">
        <w:t>modelling of industry operating conditions including access to people for simulations a</w:t>
      </w:r>
      <w:r w:rsidRPr="00FA530F">
        <w:t>nd scenarios in oral health care work</w:t>
      </w:r>
    </w:p>
    <w:p w:rsidR="00000000" w:rsidRPr="00FA530F" w:rsidP="00467DD3">
      <w:pPr>
        <w:pStyle w:val="BodyText"/>
      </w:pPr>
      <w:r w:rsidRPr="00FA530F">
        <w:t>Assessors must satisfy the Standards for Registered Training Organisations’ requirements for assessors.</w:t>
      </w:r>
    </w:p>
    <w:p w:rsidR="00000000" w:rsidRPr="00FA530F" w:rsidP="00FA530F">
      <w:pPr>
        <w:pStyle w:val="Heading1"/>
      </w:pPr>
      <w:bookmarkStart w:id="5" w:name="O_1214090"/>
      <w:bookmarkEnd w:id="5"/>
      <w:r w:rsidRPr="00FA530F">
        <w:t>Links</w:t>
      </w:r>
    </w:p>
    <w:p w:rsidR="00000000" w:rsidRPr="00FA530F" w:rsidP="00467DD3">
      <w:pPr>
        <w:pStyle w:val="BodyText"/>
      </w:pPr>
      <w:r w:rsidRPr="00FA530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70796">
        <w:rPr>
          <w:rStyle w:val="Hyperlink"/>
        </w:rPr>
        <w:t>https://vetnet.gov.au/Pages/TrainingDocs.aspx?q=ced1390f-48d9-4ab0-bd50-b015e5485705</w:t>
      </w:r>
      <w:r>
        <w:fldChar w:fldCharType="end"/>
      </w:r>
    </w:p>
    <w:p w:rsidR="00000000" w:rsidRPr="00FA530F" w:rsidP="00FA530F"/>
    <w:sectPr w:rsidSect="00FA53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0F" w:rsidRPr="00467DD3" w:rsidP="00467D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D3" w:rsidP="00FA5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7DD3" w:rsidP="00FA530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67DD3" w:rsidP="00FA5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30F" w:rsidRPr="00467DD3" w:rsidP="00467D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D3" w:rsidRPr="002D2AF8" w:rsidP="00FA530F">
    <w:pPr>
      <w:pStyle w:val="Header"/>
      <w:framePr w:wrap="around"/>
    </w:pPr>
    <w:r>
      <w:fldChar w:fldCharType="begin"/>
    </w:r>
    <w:r>
      <w:instrText xml:space="preserve"> TITLE   \* MERGEFORMAT </w:instrText>
    </w:r>
    <w:r>
      <w:fldChar w:fldCharType="separate"/>
    </w:r>
    <w:r>
      <w:t>Assessment Requirements for HLTOHC011 Apply fluoride varnish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467DD3" w:rsidP="00FA5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66F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AE6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CA6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30F"/>
    <w:pPr>
      <w:spacing w:before="360" w:after="60"/>
      <w:outlineLvl w:val="0"/>
    </w:pPr>
    <w:rPr>
      <w:sz w:val="32"/>
    </w:rPr>
  </w:style>
  <w:style w:type="paragraph" w:styleId="Heading2">
    <w:name w:val="heading 2"/>
    <w:basedOn w:val="HeadingBase"/>
    <w:next w:val="BodyText"/>
    <w:link w:val="Heading2Char"/>
    <w:qFormat/>
    <w:rsid w:val="00FA530F"/>
    <w:pPr>
      <w:keepLines/>
      <w:spacing w:before="240" w:after="120"/>
      <w:outlineLvl w:val="1"/>
    </w:pPr>
    <w:rPr>
      <w:sz w:val="28"/>
      <w:szCs w:val="40"/>
    </w:rPr>
  </w:style>
  <w:style w:type="paragraph" w:styleId="Heading3">
    <w:name w:val="heading 3"/>
    <w:basedOn w:val="HeadingBase"/>
    <w:next w:val="BodyText"/>
    <w:link w:val="Heading3Char"/>
    <w:qFormat/>
    <w:rsid w:val="00FA530F"/>
    <w:pPr>
      <w:spacing w:before="180" w:after="120"/>
      <w:outlineLvl w:val="2"/>
    </w:pPr>
    <w:rPr>
      <w:spacing w:val="-10"/>
      <w:kern w:val="32"/>
    </w:rPr>
  </w:style>
  <w:style w:type="paragraph" w:styleId="Heading4">
    <w:name w:val="heading 4"/>
    <w:basedOn w:val="HeadingBase"/>
    <w:next w:val="BodyText"/>
    <w:link w:val="Heading4Char"/>
    <w:qFormat/>
    <w:rsid w:val="00FA530F"/>
    <w:pPr>
      <w:spacing w:before="160" w:after="120"/>
      <w:outlineLvl w:val="3"/>
    </w:pPr>
    <w:rPr>
      <w:sz w:val="22"/>
    </w:rPr>
  </w:style>
  <w:style w:type="paragraph" w:styleId="Heading5">
    <w:name w:val="heading 5"/>
    <w:basedOn w:val="HeadingBase"/>
    <w:next w:val="Normal"/>
    <w:link w:val="Heading5Char"/>
    <w:qFormat/>
    <w:rsid w:val="00FA530F"/>
    <w:pPr>
      <w:spacing w:before="80"/>
      <w:outlineLvl w:val="4"/>
    </w:pPr>
    <w:rPr>
      <w:color w:val="918585"/>
      <w:sz w:val="20"/>
    </w:rPr>
  </w:style>
  <w:style w:type="paragraph" w:styleId="Heading6">
    <w:name w:val="heading 6"/>
    <w:basedOn w:val="HeadingBase"/>
    <w:next w:val="Normal"/>
    <w:link w:val="Heading6Char"/>
    <w:qFormat/>
    <w:rsid w:val="00FA530F"/>
    <w:pPr>
      <w:spacing w:before="60"/>
      <w:outlineLvl w:val="5"/>
    </w:pPr>
    <w:rPr>
      <w:color w:val="918585"/>
      <w:sz w:val="20"/>
    </w:rPr>
  </w:style>
  <w:style w:type="paragraph" w:styleId="Heading7">
    <w:name w:val="heading 7"/>
    <w:basedOn w:val="Normal"/>
    <w:next w:val="Normal"/>
    <w:link w:val="Heading7Char"/>
    <w:qFormat/>
    <w:rsid w:val="00FA530F"/>
    <w:pPr>
      <w:ind w:left="720"/>
      <w:outlineLvl w:val="6"/>
    </w:pPr>
    <w:rPr>
      <w:i/>
    </w:rPr>
  </w:style>
  <w:style w:type="paragraph" w:styleId="Heading8">
    <w:name w:val="heading 8"/>
    <w:basedOn w:val="Normal"/>
    <w:next w:val="Normal"/>
    <w:link w:val="Heading8Char"/>
    <w:qFormat/>
    <w:rsid w:val="00FA530F"/>
    <w:pPr>
      <w:ind w:left="720"/>
      <w:outlineLvl w:val="7"/>
    </w:pPr>
    <w:rPr>
      <w:i/>
    </w:rPr>
  </w:style>
  <w:style w:type="paragraph" w:styleId="Heading9">
    <w:name w:val="heading 9"/>
    <w:basedOn w:val="Normal"/>
    <w:next w:val="Normal"/>
    <w:link w:val="Heading9Char"/>
    <w:qFormat/>
    <w:rsid w:val="00FA530F"/>
    <w:pPr>
      <w:ind w:left="720"/>
      <w:outlineLvl w:val="8"/>
    </w:pPr>
    <w:rPr>
      <w:i/>
    </w:rPr>
  </w:style>
  <w:style w:type="character" w:default="1" w:styleId="DefaultParagraphFont">
    <w:name w:val="Default Paragraph Font"/>
    <w:uiPriority w:val="1"/>
    <w:unhideWhenUsed/>
    <w:rsid w:val="00FA5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30F"/>
  </w:style>
  <w:style w:type="character" w:customStyle="1" w:styleId="Heading1Char">
    <w:name w:val="Heading 1 Char"/>
    <w:basedOn w:val="DefaultParagraphFont"/>
    <w:link w:val="Heading1"/>
    <w:rsid w:val="00FA530F"/>
    <w:rPr>
      <w:rFonts w:ascii="Times New Roman" w:eastAsia="Times New Roman" w:hAnsi="Times New Roman" w:cs="Times New Roman"/>
      <w:b/>
      <w:sz w:val="32"/>
      <w:szCs w:val="20"/>
      <w:lang w:eastAsia="en-US"/>
    </w:rPr>
  </w:style>
  <w:style w:type="paragraph" w:styleId="BodyText">
    <w:name w:val="Body Text"/>
    <w:basedOn w:val="Normal"/>
    <w:link w:val="BodyTextChar"/>
    <w:rsid w:val="00FA5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30F"/>
    <w:rPr>
      <w:rFonts w:ascii="Times New Roman" w:eastAsia="Times New Roman" w:hAnsi="Times New Roman" w:cs="Times New Roman"/>
      <w:sz w:val="24"/>
      <w:lang w:eastAsia="en-US"/>
    </w:rPr>
  </w:style>
  <w:style w:type="paragraph" w:styleId="ListBullet">
    <w:name w:val="List Bullet"/>
    <w:basedOn w:val="List"/>
    <w:rsid w:val="00FA530F"/>
    <w:pPr>
      <w:numPr>
        <w:numId w:val="12"/>
      </w:numPr>
      <w:tabs>
        <w:tab w:val="clear" w:pos="340"/>
      </w:tabs>
      <w:spacing w:before="40" w:after="40"/>
    </w:pPr>
  </w:style>
  <w:style w:type="character" w:customStyle="1" w:styleId="SpecialBold">
    <w:name w:val="Special Bold"/>
    <w:basedOn w:val="DefaultParagraphFont"/>
    <w:rsid w:val="00FA530F"/>
    <w:rPr>
      <w:b/>
      <w:spacing w:val="0"/>
    </w:rPr>
  </w:style>
  <w:style w:type="paragraph" w:styleId="ListBullet2">
    <w:name w:val="List Bullet 2"/>
    <w:basedOn w:val="List2"/>
    <w:rsid w:val="00FA530F"/>
    <w:pPr>
      <w:numPr>
        <w:numId w:val="13"/>
      </w:numPr>
      <w:tabs>
        <w:tab w:val="clear" w:pos="680"/>
      </w:tabs>
    </w:pPr>
  </w:style>
  <w:style w:type="paragraph" w:customStyle="1" w:styleId="SuperHeading">
    <w:name w:val="SuperHeading"/>
    <w:basedOn w:val="Normal"/>
    <w:rsid w:val="00FA530F"/>
    <w:pPr>
      <w:spacing w:before="240" w:after="120"/>
      <w:outlineLvl w:val="0"/>
    </w:pPr>
    <w:rPr>
      <w:rFonts w:ascii="Times New Roman" w:hAnsi="Times New Roman"/>
      <w:b/>
      <w:sz w:val="32"/>
    </w:rPr>
  </w:style>
  <w:style w:type="paragraph" w:customStyle="1" w:styleId="AllowPageBreak">
    <w:name w:val="AllowPageBreak"/>
    <w:rsid w:val="00FA5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5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30F"/>
    <w:rPr>
      <w:rFonts w:ascii="Courier New" w:eastAsia="Times New Roman" w:hAnsi="Courier New" w:cs="Times New Roman"/>
      <w:i/>
      <w:szCs w:val="20"/>
      <w:lang w:eastAsia="en-US"/>
    </w:rPr>
  </w:style>
  <w:style w:type="paragraph" w:customStyle="1" w:styleId="HeadingBase">
    <w:name w:val="Heading Base"/>
    <w:rsid w:val="00FA5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30F"/>
    <w:pPr>
      <w:tabs>
        <w:tab w:val="right" w:leader="dot" w:pos="9072"/>
      </w:tabs>
      <w:ind w:left="567"/>
    </w:pPr>
    <w:rPr>
      <w:szCs w:val="22"/>
    </w:rPr>
  </w:style>
  <w:style w:type="paragraph" w:customStyle="1" w:styleId="TOCBase">
    <w:name w:val="TOC Base"/>
    <w:rsid w:val="00FA5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30F"/>
    <w:pPr>
      <w:tabs>
        <w:tab w:val="right" w:leader="dot" w:pos="9072"/>
      </w:tabs>
      <w:spacing w:before="40" w:after="40"/>
      <w:ind w:left="284"/>
    </w:pPr>
    <w:rPr>
      <w:rFonts w:ascii="Times New Roman" w:hAnsi="Times New Roman"/>
    </w:rPr>
  </w:style>
  <w:style w:type="paragraph" w:styleId="TOC1">
    <w:name w:val="toc 1"/>
    <w:basedOn w:val="TOCBase"/>
    <w:next w:val="Normal"/>
    <w:rsid w:val="00FA5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30F"/>
    <w:rPr>
      <w:rFonts w:ascii="Times New Roman" w:eastAsia="Times New Roman" w:hAnsi="Times New Roman" w:cs="Times New Roman"/>
      <w:sz w:val="16"/>
      <w:lang w:eastAsia="en-US"/>
    </w:rPr>
  </w:style>
  <w:style w:type="paragraph" w:styleId="Title">
    <w:name w:val="Title"/>
    <w:basedOn w:val="HeadingBase"/>
    <w:link w:val="TitleChar"/>
    <w:qFormat/>
    <w:rsid w:val="00FA530F"/>
    <w:pPr>
      <w:spacing w:before="5040"/>
      <w:jc w:val="center"/>
    </w:pPr>
    <w:rPr>
      <w:sz w:val="48"/>
      <w:szCs w:val="72"/>
      <w:lang w:val="en-US"/>
    </w:rPr>
  </w:style>
  <w:style w:type="character" w:customStyle="1" w:styleId="TitleChar">
    <w:name w:val="Title Char"/>
    <w:basedOn w:val="DefaultParagraphFont"/>
    <w:link w:val="Title"/>
    <w:rsid w:val="00FA5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30F"/>
    <w:pPr>
      <w:tabs>
        <w:tab w:val="left" w:pos="3600"/>
        <w:tab w:val="left" w:pos="3958"/>
      </w:tabs>
    </w:pPr>
  </w:style>
  <w:style w:type="paragraph" w:styleId="List">
    <w:name w:val="List"/>
    <w:basedOn w:val="BodyText"/>
    <w:next w:val="BodyText"/>
    <w:rsid w:val="00FA530F"/>
    <w:pPr>
      <w:tabs>
        <w:tab w:val="left" w:pos="340"/>
      </w:tabs>
      <w:spacing w:before="60" w:after="60"/>
      <w:ind w:left="340" w:hanging="340"/>
    </w:pPr>
  </w:style>
  <w:style w:type="paragraph" w:customStyle="1" w:styleId="Note">
    <w:name w:val="Note"/>
    <w:basedOn w:val="BodyText"/>
    <w:rsid w:val="00FA5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30F"/>
    <w:pPr>
      <w:framePr w:wrap="auto" w:hAnchor="text" w:y="6049"/>
    </w:pPr>
    <w:rPr>
      <w:color w:val="000000"/>
      <w:sz w:val="40"/>
    </w:rPr>
  </w:style>
  <w:style w:type="paragraph" w:customStyle="1" w:styleId="TOCTitle">
    <w:name w:val="TOCTitle"/>
    <w:basedOn w:val="Heading1"/>
    <w:rsid w:val="00FA530F"/>
    <w:pPr>
      <w:spacing w:after="240"/>
      <w:jc w:val="center"/>
      <w:outlineLvl w:val="9"/>
    </w:pPr>
    <w:rPr>
      <w:caps/>
    </w:rPr>
  </w:style>
  <w:style w:type="paragraph" w:customStyle="1" w:styleId="Version">
    <w:name w:val="Version"/>
    <w:rsid w:val="00FA5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30F"/>
    <w:pPr>
      <w:keepNext w:val="0"/>
      <w:tabs>
        <w:tab w:val="right" w:pos="4176"/>
      </w:tabs>
      <w:ind w:left="198" w:hanging="198"/>
    </w:pPr>
    <w:rPr>
      <w:rFonts w:ascii="Garamond" w:hAnsi="Garamond"/>
    </w:rPr>
  </w:style>
  <w:style w:type="paragraph" w:styleId="IndexHeading">
    <w:name w:val="index heading"/>
    <w:basedOn w:val="Normal"/>
    <w:next w:val="Index1"/>
    <w:semiHidden/>
    <w:rsid w:val="00FA530F"/>
    <w:pPr>
      <w:spacing w:before="120" w:after="120"/>
    </w:pPr>
    <w:rPr>
      <w:rFonts w:ascii="Arial" w:hAnsi="Arial"/>
      <w:b/>
      <w:color w:val="918585"/>
      <w:sz w:val="24"/>
    </w:rPr>
  </w:style>
  <w:style w:type="paragraph" w:styleId="Header">
    <w:name w:val="header"/>
    <w:basedOn w:val="Normal"/>
    <w:link w:val="HeaderChar"/>
    <w:rsid w:val="00FA5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30F"/>
    <w:rPr>
      <w:rFonts w:ascii="Times New Roman" w:eastAsia="Times New Roman" w:hAnsi="Times New Roman" w:cs="Times New Roman"/>
      <w:sz w:val="16"/>
      <w:szCs w:val="20"/>
      <w:lang w:val="en-GB" w:eastAsia="en-US"/>
    </w:rPr>
  </w:style>
  <w:style w:type="paragraph" w:customStyle="1" w:styleId="Chapter">
    <w:name w:val="Chapter"/>
    <w:basedOn w:val="Normal"/>
    <w:rsid w:val="00FA530F"/>
    <w:pPr>
      <w:spacing w:before="240"/>
    </w:pPr>
    <w:rPr>
      <w:rFonts w:ascii="Times New Roman" w:hAnsi="Times New Roman"/>
      <w:smallCaps/>
      <w:spacing w:val="80"/>
      <w:sz w:val="28"/>
    </w:rPr>
  </w:style>
  <w:style w:type="paragraph" w:customStyle="1" w:styleId="InChapter">
    <w:name w:val="InChapter"/>
    <w:basedOn w:val="Heading3"/>
    <w:rsid w:val="00FA530F"/>
    <w:pPr>
      <w:spacing w:after="240"/>
      <w:outlineLvl w:val="9"/>
    </w:pPr>
    <w:rPr>
      <w:noProof/>
    </w:rPr>
  </w:style>
  <w:style w:type="paragraph" w:styleId="Index2">
    <w:name w:val="index 2"/>
    <w:basedOn w:val="Normal"/>
    <w:next w:val="Normal"/>
    <w:semiHidden/>
    <w:rsid w:val="00FA530F"/>
    <w:pPr>
      <w:tabs>
        <w:tab w:val="right" w:pos="4176"/>
      </w:tabs>
      <w:ind w:left="568" w:hanging="284"/>
    </w:pPr>
    <w:rPr>
      <w:rFonts w:ascii="Garamond" w:hAnsi="Garamond"/>
    </w:rPr>
  </w:style>
  <w:style w:type="paragraph" w:customStyle="1" w:styleId="Byline">
    <w:name w:val="Byline"/>
    <w:rsid w:val="00FA5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30F"/>
    <w:pPr>
      <w:tabs>
        <w:tab w:val="clear" w:pos="3600"/>
        <w:tab w:val="clear" w:pos="3958"/>
      </w:tabs>
      <w:jc w:val="right"/>
    </w:pPr>
  </w:style>
  <w:style w:type="character" w:styleId="Emphasis">
    <w:name w:val="Emphasis"/>
    <w:basedOn w:val="DefaultParagraphFont"/>
    <w:qFormat/>
    <w:rsid w:val="00FA530F"/>
    <w:rPr>
      <w:i/>
    </w:rPr>
  </w:style>
  <w:style w:type="paragraph" w:styleId="Caption">
    <w:name w:val="caption"/>
    <w:basedOn w:val="BodyText"/>
    <w:next w:val="Normal"/>
    <w:qFormat/>
    <w:rsid w:val="00FA530F"/>
    <w:pPr>
      <w:framePr w:w="2268" w:hSpace="181" w:vSpace="181" w:wrap="around" w:vAnchor="text" w:hAnchor="page" w:x="1135" w:y="285" w:anchorLock="1"/>
    </w:pPr>
    <w:rPr>
      <w:i/>
    </w:rPr>
  </w:style>
  <w:style w:type="paragraph" w:customStyle="1" w:styleId="MiniTOCTitle">
    <w:name w:val="MiniTOCTitle"/>
    <w:basedOn w:val="Heading4"/>
    <w:rsid w:val="00FA530F"/>
    <w:pPr>
      <w:spacing w:before="240"/>
      <w:outlineLvl w:val="9"/>
    </w:pPr>
    <w:rPr>
      <w:noProof/>
      <w:sz w:val="24"/>
    </w:rPr>
  </w:style>
  <w:style w:type="paragraph" w:customStyle="1" w:styleId="MiniTOCItem">
    <w:name w:val="MiniTOCItem"/>
    <w:basedOn w:val="ListBullet"/>
    <w:rsid w:val="00FA530F"/>
    <w:pPr>
      <w:numPr>
        <w:numId w:val="0"/>
      </w:numPr>
      <w:tabs>
        <w:tab w:val="right" w:leader="dot" w:pos="6521"/>
      </w:tabs>
      <w:spacing w:before="0" w:after="0"/>
    </w:pPr>
  </w:style>
  <w:style w:type="paragraph" w:customStyle="1" w:styleId="TOFTitle">
    <w:name w:val="TOFTitle"/>
    <w:basedOn w:val="TOCTitle"/>
    <w:rsid w:val="00FA530F"/>
  </w:style>
  <w:style w:type="paragraph" w:styleId="TableofFigures">
    <w:name w:val="table of figures"/>
    <w:basedOn w:val="Normal"/>
    <w:next w:val="Normal"/>
    <w:semiHidden/>
    <w:rsid w:val="00FA530F"/>
    <w:pPr>
      <w:tabs>
        <w:tab w:val="right" w:leader="dot" w:pos="9072"/>
      </w:tabs>
      <w:ind w:left="970" w:hanging="403"/>
    </w:pPr>
    <w:rPr>
      <w:rFonts w:ascii="Times New Roman" w:hAnsi="Times New Roman"/>
      <w:b/>
    </w:rPr>
  </w:style>
  <w:style w:type="paragraph" w:styleId="ListNumber">
    <w:name w:val="List Number"/>
    <w:basedOn w:val="List"/>
    <w:rsid w:val="00FA530F"/>
    <w:pPr>
      <w:numPr>
        <w:numId w:val="15"/>
      </w:numPr>
      <w:tabs>
        <w:tab w:val="clear" w:pos="340"/>
      </w:tabs>
    </w:pPr>
  </w:style>
  <w:style w:type="character" w:customStyle="1" w:styleId="WingdingSymbols">
    <w:name w:val="Wingding Symbols"/>
    <w:rsid w:val="00FA530F"/>
    <w:rPr>
      <w:rFonts w:ascii="Wingdings" w:hAnsi="Wingdings"/>
    </w:rPr>
  </w:style>
  <w:style w:type="paragraph" w:customStyle="1" w:styleId="TableHeading">
    <w:name w:val="Table Heading"/>
    <w:basedOn w:val="HeadingBase"/>
    <w:rsid w:val="00FA530F"/>
    <w:pPr>
      <w:keepLines/>
      <w:pBdr>
        <w:bottom w:val="single" w:sz="6" w:space="1" w:color="918585"/>
      </w:pBdr>
      <w:spacing w:before="240"/>
    </w:pPr>
  </w:style>
  <w:style w:type="character" w:customStyle="1" w:styleId="HotSpot">
    <w:name w:val="HotSpot"/>
    <w:rsid w:val="00FA530F"/>
    <w:rPr>
      <w:color w:val="0033CC"/>
      <w:u w:val="none"/>
    </w:rPr>
  </w:style>
  <w:style w:type="paragraph" w:customStyle="1" w:styleId="BodyTextRight">
    <w:name w:val="Body Text Right"/>
    <w:basedOn w:val="BodyText"/>
    <w:rsid w:val="00FA530F"/>
    <w:pPr>
      <w:spacing w:before="0" w:after="0"/>
      <w:jc w:val="right"/>
    </w:pPr>
  </w:style>
  <w:style w:type="paragraph" w:styleId="Index3">
    <w:name w:val="index 3"/>
    <w:basedOn w:val="ListNumber2"/>
    <w:next w:val="Normal"/>
    <w:semiHidden/>
    <w:rsid w:val="00FA530F"/>
    <w:pPr>
      <w:numPr>
        <w:numId w:val="0"/>
      </w:numPr>
      <w:tabs>
        <w:tab w:val="right" w:leader="dot" w:pos="4176"/>
      </w:tabs>
    </w:pPr>
  </w:style>
  <w:style w:type="paragraph" w:styleId="ListNumber2">
    <w:name w:val="List Number 2"/>
    <w:basedOn w:val="List2"/>
    <w:rsid w:val="00FA530F"/>
    <w:pPr>
      <w:numPr>
        <w:numId w:val="10"/>
      </w:numPr>
      <w:tabs>
        <w:tab w:val="clear" w:pos="1060"/>
      </w:tabs>
    </w:pPr>
  </w:style>
  <w:style w:type="paragraph" w:customStyle="1" w:styleId="MarginNote">
    <w:name w:val="Margin Note"/>
    <w:basedOn w:val="BodyText"/>
    <w:rsid w:val="00FA5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30F"/>
    <w:rPr>
      <w:sz w:val="32"/>
    </w:rPr>
  </w:style>
  <w:style w:type="paragraph" w:customStyle="1" w:styleId="HeadingProcedure">
    <w:name w:val="Heading Procedure"/>
    <w:basedOn w:val="HeadingBase"/>
    <w:next w:val="Normal"/>
    <w:rsid w:val="00FA530F"/>
    <w:pPr>
      <w:tabs>
        <w:tab w:val="left" w:pos="0"/>
      </w:tabs>
      <w:spacing w:before="120" w:after="60"/>
    </w:pPr>
    <w:rPr>
      <w:i/>
      <w:color w:val="918585"/>
      <w:sz w:val="22"/>
    </w:rPr>
  </w:style>
  <w:style w:type="paragraph" w:customStyle="1" w:styleId="TableBodyText">
    <w:name w:val="Table Body Text"/>
    <w:basedOn w:val="BodyText"/>
    <w:rsid w:val="00FA530F"/>
    <w:pPr>
      <w:spacing w:before="60" w:after="60"/>
    </w:pPr>
  </w:style>
  <w:style w:type="paragraph" w:styleId="ListContinue">
    <w:name w:val="List Continue"/>
    <w:basedOn w:val="List"/>
    <w:rsid w:val="00FA530F"/>
    <w:pPr>
      <w:ind w:firstLine="0"/>
    </w:pPr>
  </w:style>
  <w:style w:type="paragraph" w:customStyle="1" w:styleId="ListNote">
    <w:name w:val="List Note"/>
    <w:basedOn w:val="List"/>
    <w:rsid w:val="00FA530F"/>
    <w:pPr>
      <w:pBdr>
        <w:top w:val="single" w:sz="6" w:space="2" w:color="918585"/>
        <w:bottom w:val="single" w:sz="6" w:space="2" w:color="918585"/>
      </w:pBdr>
      <w:tabs>
        <w:tab w:val="left" w:pos="1021"/>
      </w:tabs>
      <w:ind w:firstLine="0"/>
    </w:pPr>
  </w:style>
  <w:style w:type="paragraph" w:customStyle="1" w:styleId="Warning">
    <w:name w:val="Warning"/>
    <w:basedOn w:val="BodyText"/>
    <w:rsid w:val="00FA530F"/>
    <w:pPr>
      <w:shd w:val="clear" w:color="auto" w:fill="D9D9D9"/>
      <w:tabs>
        <w:tab w:val="left" w:pos="992"/>
      </w:tabs>
      <w:ind w:left="119" w:right="119"/>
    </w:pPr>
    <w:rPr>
      <w:sz w:val="20"/>
    </w:rPr>
  </w:style>
  <w:style w:type="paragraph" w:customStyle="1" w:styleId="MarginIcons">
    <w:name w:val="Margin Icons"/>
    <w:basedOn w:val="BodyText"/>
    <w:rsid w:val="00FA5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30F"/>
    <w:rPr>
      <w:rFonts w:ascii="Courier New" w:hAnsi="Courier New"/>
    </w:rPr>
  </w:style>
  <w:style w:type="paragraph" w:customStyle="1" w:styleId="NoteBullet">
    <w:name w:val="Note Bullet"/>
    <w:basedOn w:val="Note"/>
    <w:rsid w:val="00FA530F"/>
    <w:pPr>
      <w:tabs>
        <w:tab w:val="clear" w:pos="680"/>
      </w:tabs>
      <w:spacing w:before="60" w:after="60"/>
    </w:pPr>
  </w:style>
  <w:style w:type="paragraph" w:customStyle="1" w:styleId="SubHeading2">
    <w:name w:val="SubHeading2"/>
    <w:basedOn w:val="HeadingBase"/>
    <w:rsid w:val="00FA530F"/>
    <w:pPr>
      <w:spacing w:before="240" w:after="60"/>
    </w:pPr>
    <w:rPr>
      <w:sz w:val="20"/>
    </w:rPr>
  </w:style>
  <w:style w:type="paragraph" w:customStyle="1" w:styleId="SubHeading1">
    <w:name w:val="SubHeading1"/>
    <w:basedOn w:val="HeadingBase"/>
    <w:rsid w:val="00FA530F"/>
    <w:pPr>
      <w:spacing w:before="240" w:after="60"/>
    </w:pPr>
    <w:rPr>
      <w:color w:val="918585"/>
      <w:sz w:val="22"/>
    </w:rPr>
  </w:style>
  <w:style w:type="paragraph" w:customStyle="1" w:styleId="SideHeading">
    <w:name w:val="Side Heading"/>
    <w:basedOn w:val="HeadingBase"/>
    <w:rsid w:val="00FA5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30F"/>
    <w:pPr>
      <w:tabs>
        <w:tab w:val="num" w:pos="360"/>
      </w:tabs>
    </w:pPr>
  </w:style>
  <w:style w:type="paragraph" w:styleId="PlainText">
    <w:name w:val="Plain Text"/>
    <w:basedOn w:val="Normal"/>
    <w:link w:val="PlainTextChar"/>
    <w:rsid w:val="00FA530F"/>
    <w:rPr>
      <w:sz w:val="20"/>
    </w:rPr>
  </w:style>
  <w:style w:type="character" w:customStyle="1" w:styleId="PlainTextChar">
    <w:name w:val="Plain Text Char"/>
    <w:basedOn w:val="DefaultParagraphFont"/>
    <w:link w:val="PlainText"/>
    <w:rsid w:val="00FA530F"/>
    <w:rPr>
      <w:rFonts w:ascii="Courier New" w:eastAsia="Times New Roman" w:hAnsi="Courier New" w:cs="Times New Roman"/>
      <w:sz w:val="20"/>
      <w:szCs w:val="20"/>
      <w:lang w:eastAsia="en-US"/>
    </w:rPr>
  </w:style>
  <w:style w:type="character" w:customStyle="1" w:styleId="MenuOption">
    <w:name w:val="Menu Option"/>
    <w:basedOn w:val="DefaultParagraphFont"/>
    <w:rsid w:val="00FA530F"/>
    <w:rPr>
      <w:b/>
      <w:smallCaps/>
    </w:rPr>
  </w:style>
  <w:style w:type="paragraph" w:customStyle="1" w:styleId="TableListNumber">
    <w:name w:val="Table List Number"/>
    <w:basedOn w:val="ListNumber"/>
    <w:rsid w:val="00FA530F"/>
    <w:pPr>
      <w:numPr>
        <w:numId w:val="0"/>
      </w:numPr>
    </w:pPr>
  </w:style>
  <w:style w:type="paragraph" w:styleId="TOC4">
    <w:name w:val="toc 4"/>
    <w:basedOn w:val="TOCBase"/>
    <w:next w:val="Normal"/>
    <w:semiHidden/>
    <w:rsid w:val="00FA530F"/>
    <w:pPr>
      <w:tabs>
        <w:tab w:val="right" w:leader="dot" w:pos="9071"/>
      </w:tabs>
      <w:ind w:left="1701"/>
    </w:pPr>
  </w:style>
  <w:style w:type="paragraph" w:customStyle="1" w:styleId="ListAlpha">
    <w:name w:val="List Alpha"/>
    <w:basedOn w:val="List"/>
    <w:rsid w:val="00FA530F"/>
    <w:pPr>
      <w:numPr>
        <w:numId w:val="9"/>
      </w:numPr>
    </w:pPr>
  </w:style>
  <w:style w:type="paragraph" w:customStyle="1" w:styleId="ListAlpha2">
    <w:name w:val="List Alpha 2"/>
    <w:basedOn w:val="List2"/>
    <w:rsid w:val="00FA530F"/>
    <w:pPr>
      <w:numPr>
        <w:numId w:val="8"/>
      </w:numPr>
    </w:pPr>
  </w:style>
  <w:style w:type="paragraph" w:styleId="List2">
    <w:name w:val="List 2"/>
    <w:basedOn w:val="BodyText"/>
    <w:rsid w:val="00FA530F"/>
    <w:pPr>
      <w:tabs>
        <w:tab w:val="left" w:pos="680"/>
      </w:tabs>
      <w:spacing w:before="60" w:after="60"/>
      <w:ind w:left="680" w:hanging="340"/>
    </w:pPr>
  </w:style>
  <w:style w:type="paragraph" w:styleId="List3">
    <w:name w:val="List 3"/>
    <w:basedOn w:val="BodyText"/>
    <w:rsid w:val="00FA530F"/>
    <w:pPr>
      <w:tabs>
        <w:tab w:val="left" w:pos="1021"/>
      </w:tabs>
      <w:spacing w:before="60" w:after="60"/>
      <w:ind w:left="1020" w:hanging="340"/>
    </w:pPr>
  </w:style>
  <w:style w:type="paragraph" w:styleId="List4">
    <w:name w:val="List 4"/>
    <w:basedOn w:val="BodyText"/>
    <w:rsid w:val="00FA530F"/>
    <w:pPr>
      <w:tabs>
        <w:tab w:val="left" w:pos="1361"/>
      </w:tabs>
      <w:spacing w:before="60" w:after="60"/>
      <w:ind w:left="1361" w:hanging="340"/>
    </w:pPr>
  </w:style>
  <w:style w:type="paragraph" w:styleId="List5">
    <w:name w:val="List 5"/>
    <w:basedOn w:val="BodyText"/>
    <w:rsid w:val="00FA530F"/>
    <w:pPr>
      <w:tabs>
        <w:tab w:val="left" w:pos="1701"/>
      </w:tabs>
      <w:spacing w:before="60" w:after="60"/>
      <w:ind w:left="1701" w:hanging="340"/>
    </w:pPr>
  </w:style>
  <w:style w:type="paragraph" w:styleId="ListBullet3">
    <w:name w:val="List Bullet 3"/>
    <w:basedOn w:val="List3"/>
    <w:rsid w:val="00FA530F"/>
    <w:pPr>
      <w:numPr>
        <w:numId w:val="14"/>
      </w:numPr>
      <w:tabs>
        <w:tab w:val="clear" w:pos="1021"/>
      </w:tabs>
      <w:ind w:left="1037" w:hanging="357"/>
    </w:pPr>
  </w:style>
  <w:style w:type="paragraph" w:styleId="ListBullet4">
    <w:name w:val="List Bullet 4"/>
    <w:basedOn w:val="List4"/>
    <w:rsid w:val="00FA530F"/>
    <w:pPr>
      <w:numPr>
        <w:numId w:val="3"/>
      </w:numPr>
      <w:tabs>
        <w:tab w:val="clear" w:pos="1361"/>
      </w:tabs>
    </w:pPr>
  </w:style>
  <w:style w:type="paragraph" w:styleId="ListBullet5">
    <w:name w:val="List Bullet 5"/>
    <w:basedOn w:val="List5"/>
    <w:rsid w:val="00FA530F"/>
    <w:pPr>
      <w:numPr>
        <w:numId w:val="4"/>
      </w:numPr>
    </w:pPr>
  </w:style>
  <w:style w:type="paragraph" w:styleId="ListContinue2">
    <w:name w:val="List Continue 2"/>
    <w:basedOn w:val="List2"/>
    <w:rsid w:val="00FA530F"/>
    <w:pPr>
      <w:ind w:firstLine="0"/>
    </w:pPr>
  </w:style>
  <w:style w:type="paragraph" w:styleId="ListContinue3">
    <w:name w:val="List Continue 3"/>
    <w:basedOn w:val="List3"/>
    <w:rsid w:val="00FA530F"/>
    <w:pPr>
      <w:ind w:left="1021" w:firstLine="0"/>
    </w:pPr>
  </w:style>
  <w:style w:type="paragraph" w:styleId="ListContinue4">
    <w:name w:val="List Continue 4"/>
    <w:basedOn w:val="List4"/>
    <w:rsid w:val="00FA530F"/>
    <w:pPr>
      <w:ind w:firstLine="0"/>
    </w:pPr>
  </w:style>
  <w:style w:type="paragraph" w:styleId="ListContinue5">
    <w:name w:val="List Continue 5"/>
    <w:basedOn w:val="List5"/>
    <w:rsid w:val="00FA530F"/>
    <w:pPr>
      <w:ind w:firstLine="0"/>
    </w:pPr>
  </w:style>
  <w:style w:type="paragraph" w:styleId="ListNumber3">
    <w:name w:val="List Number 3"/>
    <w:basedOn w:val="List3"/>
    <w:rsid w:val="00FA530F"/>
    <w:pPr>
      <w:numPr>
        <w:numId w:val="5"/>
      </w:numPr>
    </w:pPr>
  </w:style>
  <w:style w:type="paragraph" w:styleId="ListNumber4">
    <w:name w:val="List Number 4"/>
    <w:basedOn w:val="List4"/>
    <w:rsid w:val="00FA530F"/>
    <w:pPr>
      <w:numPr>
        <w:numId w:val="6"/>
      </w:numPr>
    </w:pPr>
  </w:style>
  <w:style w:type="paragraph" w:styleId="ListNumber5">
    <w:name w:val="List Number 5"/>
    <w:basedOn w:val="List5"/>
    <w:rsid w:val="00FA530F"/>
    <w:pPr>
      <w:numPr>
        <w:numId w:val="7"/>
      </w:numPr>
    </w:pPr>
  </w:style>
  <w:style w:type="paragraph" w:styleId="BlockText">
    <w:name w:val="Block Text"/>
    <w:basedOn w:val="Normal"/>
    <w:rsid w:val="00FA530F"/>
    <w:pPr>
      <w:spacing w:after="120"/>
      <w:ind w:left="1440" w:right="1440"/>
    </w:pPr>
  </w:style>
  <w:style w:type="character" w:customStyle="1" w:styleId="Subscript">
    <w:name w:val="Subscript"/>
    <w:basedOn w:val="DefaultParagraphFont"/>
    <w:rsid w:val="00FA530F"/>
    <w:rPr>
      <w:sz w:val="16"/>
      <w:vertAlign w:val="subscript"/>
    </w:rPr>
  </w:style>
  <w:style w:type="character" w:customStyle="1" w:styleId="Superscript">
    <w:name w:val="Superscript"/>
    <w:basedOn w:val="DefaultParagraphFont"/>
    <w:rsid w:val="00FA530F"/>
    <w:rPr>
      <w:sz w:val="16"/>
      <w:vertAlign w:val="superscript"/>
    </w:rPr>
  </w:style>
  <w:style w:type="character" w:customStyle="1" w:styleId="Symbols">
    <w:name w:val="Symbols"/>
    <w:basedOn w:val="DefaultParagraphFont"/>
    <w:rsid w:val="00FA530F"/>
    <w:rPr>
      <w:rFonts w:ascii="Symbol" w:hAnsi="Symbol"/>
    </w:rPr>
  </w:style>
  <w:style w:type="character" w:customStyle="1" w:styleId="MenuOptions">
    <w:name w:val="Menu Options"/>
    <w:basedOn w:val="DefaultParagraphFont"/>
    <w:rsid w:val="00FA530F"/>
    <w:rPr>
      <w:rFonts w:ascii="Arial Narrow" w:hAnsi="Arial Narrow"/>
      <w:smallCaps/>
    </w:rPr>
  </w:style>
  <w:style w:type="character" w:customStyle="1" w:styleId="Buttons">
    <w:name w:val="Buttons"/>
    <w:basedOn w:val="DefaultParagraphFont"/>
    <w:rsid w:val="00FA530F"/>
    <w:rPr>
      <w:b/>
    </w:rPr>
  </w:style>
  <w:style w:type="character" w:customStyle="1" w:styleId="Underlined">
    <w:name w:val="Underlined"/>
    <w:basedOn w:val="DefaultParagraphFont"/>
    <w:rsid w:val="00FA530F"/>
    <w:rPr>
      <w:u w:val="single"/>
    </w:rPr>
  </w:style>
  <w:style w:type="paragraph" w:customStyle="1" w:styleId="TableBodyTextRight">
    <w:name w:val="Table Body Text Right"/>
    <w:basedOn w:val="TableBodyText"/>
    <w:rsid w:val="00FA530F"/>
    <w:pPr>
      <w:widowControl w:val="0"/>
      <w:autoSpaceDE w:val="0"/>
      <w:autoSpaceDN w:val="0"/>
      <w:adjustRightInd w:val="0"/>
      <w:jc w:val="right"/>
    </w:pPr>
    <w:rPr>
      <w:rFonts w:cs="Arial"/>
      <w:szCs w:val="18"/>
    </w:rPr>
  </w:style>
  <w:style w:type="paragraph" w:customStyle="1" w:styleId="CopyrightText">
    <w:name w:val="Copyright Text"/>
    <w:basedOn w:val="BodyText"/>
    <w:rsid w:val="00FA530F"/>
    <w:rPr>
      <w:sz w:val="18"/>
    </w:rPr>
  </w:style>
  <w:style w:type="paragraph" w:customStyle="1" w:styleId="BodySmallRight">
    <w:name w:val="Body Small Right"/>
    <w:basedOn w:val="BodyTextRight"/>
    <w:rsid w:val="00FA530F"/>
    <w:rPr>
      <w:sz w:val="18"/>
      <w:szCs w:val="18"/>
    </w:rPr>
  </w:style>
  <w:style w:type="paragraph" w:customStyle="1" w:styleId="MarginEdition">
    <w:name w:val="Margin Edition"/>
    <w:basedOn w:val="MarginNote"/>
    <w:rsid w:val="00FA530F"/>
    <w:pPr>
      <w:spacing w:before="0" w:after="0"/>
    </w:pPr>
    <w:rPr>
      <w:rFonts w:ascii="Times New Roman" w:hAnsi="Times New Roman"/>
      <w:color w:val="999999"/>
    </w:rPr>
  </w:style>
  <w:style w:type="paragraph" w:customStyle="1" w:styleId="Spacer">
    <w:name w:val="Spacer"/>
    <w:basedOn w:val="Normal"/>
    <w:rsid w:val="00FA530F"/>
    <w:rPr>
      <w:sz w:val="2"/>
      <w:szCs w:val="2"/>
    </w:rPr>
  </w:style>
  <w:style w:type="character" w:customStyle="1" w:styleId="Small">
    <w:name w:val="Small"/>
    <w:basedOn w:val="DefaultParagraphFont"/>
    <w:rsid w:val="00FA530F"/>
    <w:rPr>
      <w:sz w:val="16"/>
    </w:rPr>
  </w:style>
  <w:style w:type="paragraph" w:customStyle="1" w:styleId="WideTable">
    <w:name w:val="Wide Table"/>
    <w:basedOn w:val="Normal"/>
    <w:rsid w:val="00FA530F"/>
    <w:pPr>
      <w:ind w:left="-1418"/>
    </w:pPr>
    <w:rPr>
      <w:sz w:val="2"/>
      <w:szCs w:val="2"/>
    </w:rPr>
  </w:style>
  <w:style w:type="character" w:styleId="PageNumber">
    <w:name w:val="page number"/>
    <w:basedOn w:val="DefaultParagraphFont"/>
    <w:rsid w:val="00FA530F"/>
  </w:style>
  <w:style w:type="paragraph" w:styleId="Quote">
    <w:name w:val="Quote"/>
    <w:basedOn w:val="Heading1"/>
    <w:link w:val="QuoteChar"/>
    <w:qFormat/>
    <w:rsid w:val="00FA530F"/>
    <w:rPr>
      <w:b w:val="0"/>
      <w:sz w:val="72"/>
      <w:szCs w:val="72"/>
      <w:lang w:val="en-NZ"/>
    </w:rPr>
  </w:style>
  <w:style w:type="character" w:customStyle="1" w:styleId="QuoteChar">
    <w:name w:val="Quote Char"/>
    <w:basedOn w:val="DefaultParagraphFont"/>
    <w:link w:val="Quote"/>
    <w:rsid w:val="00FA5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30F"/>
    <w:pPr>
      <w:pageBreakBefore/>
    </w:pPr>
  </w:style>
  <w:style w:type="paragraph" w:customStyle="1" w:styleId="Border">
    <w:name w:val="Border"/>
    <w:basedOn w:val="Normal"/>
    <w:qFormat/>
    <w:rsid w:val="00FA5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30F"/>
    <w:rPr>
      <w:b/>
      <w:bCs/>
      <w:i/>
      <w:iCs/>
      <w:color w:val="auto"/>
    </w:rPr>
  </w:style>
  <w:style w:type="paragraph" w:styleId="IntenseQuote">
    <w:name w:val="Intense Quote"/>
    <w:basedOn w:val="Normal"/>
    <w:next w:val="Normal"/>
    <w:link w:val="IntenseQuoteChar"/>
    <w:uiPriority w:val="30"/>
    <w:qFormat/>
    <w:rsid w:val="00FA5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30F"/>
    <w:rPr>
      <w:smallCaps/>
      <w:color w:val="auto"/>
      <w:u w:val="single"/>
    </w:rPr>
  </w:style>
  <w:style w:type="character" w:styleId="IntenseReference">
    <w:name w:val="Intense Reference"/>
    <w:basedOn w:val="DefaultParagraphFont"/>
    <w:uiPriority w:val="32"/>
    <w:qFormat/>
    <w:rsid w:val="00FA530F"/>
    <w:rPr>
      <w:b/>
      <w:bCs/>
      <w:smallCaps/>
      <w:color w:val="auto"/>
      <w:spacing w:val="5"/>
      <w:u w:val="single"/>
    </w:rPr>
  </w:style>
  <w:style w:type="paragraph" w:customStyle="1" w:styleId="2ColumnHeading">
    <w:name w:val="2Column Heading"/>
    <w:basedOn w:val="BodyText"/>
    <w:qFormat/>
    <w:rsid w:val="00FA530F"/>
    <w:pPr>
      <w:spacing w:after="60"/>
      <w:ind w:left="-2268"/>
    </w:pPr>
    <w:rPr>
      <w:b/>
    </w:rPr>
  </w:style>
  <w:style w:type="paragraph" w:customStyle="1" w:styleId="Heading1TOC">
    <w:name w:val="Heading1 TOC"/>
    <w:basedOn w:val="Normal"/>
    <w:qFormat/>
    <w:rsid w:val="00FA530F"/>
    <w:pPr>
      <w:spacing w:before="240" w:after="120"/>
    </w:pPr>
    <w:rPr>
      <w:rFonts w:ascii="Times New Roman" w:hAnsi="Times New Roman"/>
      <w:b/>
      <w:sz w:val="32"/>
    </w:rPr>
  </w:style>
  <w:style w:type="paragraph" w:customStyle="1" w:styleId="Heading2TOC">
    <w:name w:val="Heading2 TOC"/>
    <w:basedOn w:val="Normal"/>
    <w:qFormat/>
    <w:rsid w:val="00FA530F"/>
    <w:pPr>
      <w:spacing w:before="240" w:after="60"/>
    </w:pPr>
    <w:rPr>
      <w:rFonts w:ascii="Times New Roman" w:hAnsi="Times New Roman"/>
      <w:b/>
      <w:sz w:val="28"/>
    </w:rPr>
  </w:style>
  <w:style w:type="character" w:customStyle="1" w:styleId="Underline">
    <w:name w:val="Underline"/>
    <w:basedOn w:val="DefaultParagraphFont"/>
    <w:qFormat/>
    <w:rsid w:val="00FA530F"/>
    <w:rPr>
      <w:u w:val="single"/>
    </w:rPr>
  </w:style>
  <w:style w:type="character" w:customStyle="1" w:styleId="BoldandItalics">
    <w:name w:val="Bold and Italics"/>
    <w:qFormat/>
    <w:rsid w:val="00FA530F"/>
    <w:rPr>
      <w:b/>
      <w:i/>
      <w:u w:val="none"/>
    </w:rPr>
  </w:style>
  <w:style w:type="paragraph" w:styleId="BalloonText">
    <w:name w:val="Balloon Text"/>
    <w:basedOn w:val="Normal"/>
    <w:link w:val="BalloonTextChar"/>
    <w:rsid w:val="00FA530F"/>
    <w:rPr>
      <w:rFonts w:ascii="Tahoma" w:hAnsi="Tahoma" w:cs="Tahoma"/>
      <w:sz w:val="16"/>
      <w:szCs w:val="16"/>
    </w:rPr>
  </w:style>
  <w:style w:type="character" w:customStyle="1" w:styleId="BalloonTextChar">
    <w:name w:val="Balloon Text Char"/>
    <w:basedOn w:val="DefaultParagraphFont"/>
    <w:link w:val="BalloonText"/>
    <w:rsid w:val="00FA5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30F"/>
    <w:rPr>
      <w:b/>
      <w:color w:val="660033"/>
      <w:spacing w:val="0"/>
    </w:rPr>
  </w:style>
  <w:style w:type="paragraph" w:customStyle="1" w:styleId="Nameditemlist">
    <w:name w:val="Named item list"/>
    <w:basedOn w:val="BodyText"/>
    <w:qFormat/>
    <w:rsid w:val="00FA530F"/>
    <w:pPr>
      <w:tabs>
        <w:tab w:val="left" w:pos="2835"/>
      </w:tabs>
      <w:ind w:left="2835" w:hanging="2835"/>
    </w:pPr>
  </w:style>
  <w:style w:type="paragraph" w:customStyle="1" w:styleId="BodyTextnopadding">
    <w:name w:val="Body Text no padding"/>
    <w:basedOn w:val="BodyText"/>
    <w:qFormat/>
    <w:rsid w:val="00FA530F"/>
    <w:pPr>
      <w:spacing w:before="0" w:after="0"/>
    </w:pPr>
  </w:style>
  <w:style w:type="paragraph" w:customStyle="1" w:styleId="BodyTextBold">
    <w:name w:val="Body Text Bold"/>
    <w:basedOn w:val="BodyText"/>
    <w:qFormat/>
    <w:rsid w:val="00FA530F"/>
    <w:rPr>
      <w:b/>
    </w:rPr>
  </w:style>
  <w:style w:type="character" w:styleId="Hyperlink">
    <w:name w:val="Hyperlink"/>
    <w:basedOn w:val="DefaultParagraphFont"/>
    <w:uiPriority w:val="99"/>
    <w:unhideWhenUsed/>
    <w:rsid w:val="00467D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5569</Characters>
  <Application>Microsoft Office Word</Application>
  <DocSecurity>0</DocSecurity>
  <Lines>132</Lines>
  <Paragraphs>111</Paragraphs>
  <ScaleCrop>false</ScaleCrop>
  <Company>Author-it Software Corporation Ltd.</Company>
  <LinksUpToDate>false</LinksUpToDate>
  <CharactersWithSpaces>6336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HLTOHC011 Apply fluoride varnish</dc:title>
  <dc:subject>Approved</dc:subject>
  <dc:creator>SkillsIQ</dc:creator>
  <cp:keywords>Release: 3</cp:keywords>
  <dc:description>Review Date: 12 April 2008</dc:description>
  <cp:lastModifiedBy>HSD_TPCMSd.prod</cp:lastModifiedBy>
  <cp:revision>3</cp:revision>
  <dcterms:created xsi:type="dcterms:W3CDTF">2023-07-01T04:46:00Z</dcterms:created>
  <dcterms:modified xsi:type="dcterms:W3CDTF">2023-07-01T04:46:00Z</dcterms:modified>
</cp:coreProperties>
</file>