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214" w:rsidP="007B7214">
      <w:pPr>
        <w:pStyle w:val="Title"/>
      </w:pPr>
      <w:r>
        <w:fldChar w:fldCharType="begin"/>
      </w:r>
      <w:r>
        <w:instrText xml:space="preserve"> TITLE   \* MERGEFORMAT </w:instrText>
      </w:r>
      <w:r>
        <w:fldChar w:fldCharType="separate"/>
      </w:r>
      <w:r>
        <w:t>HLTOHC010 Use basic oral health screening tools</w:t>
      </w:r>
      <w:r>
        <w:fldChar w:fldCharType="end"/>
      </w:r>
    </w:p>
    <w:p w:rsidR="007B7214" w:rsidP="007B7214">
      <w:pPr>
        <w:pStyle w:val="Version"/>
        <w:sectPr w:rsidSect="001056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56AB" w:rsidP="001056AB">
      <w:pPr>
        <w:pStyle w:val="SuperHeading"/>
      </w:pPr>
      <w:r w:rsidRPr="001056AB">
        <w:t>HLTOHC010 Use basic oral health screening tools</w:t>
      </w:r>
    </w:p>
    <w:p w:rsidR="00000000" w:rsidRPr="001056AB" w:rsidP="001056AB">
      <w:pPr>
        <w:pStyle w:val="Heading1"/>
      </w:pPr>
      <w:bookmarkStart w:id="1" w:name="O_1200214"/>
      <w:bookmarkEnd w:id="1"/>
      <w:r w:rsidRPr="001056AB">
        <w:t>Modification History</w:t>
      </w:r>
    </w:p>
    <w:tbl>
      <w:tblPr>
        <w:tblW w:w="0" w:type="auto"/>
        <w:tblLayout w:type="fixed"/>
        <w:tblCellMar>
          <w:left w:w="62" w:type="dxa"/>
          <w:right w:w="62" w:type="dxa"/>
        </w:tblCellMar>
        <w:tblLook w:val="0000"/>
      </w:tblPr>
      <w:tblGrid>
        <w:gridCol w:w="3040"/>
        <w:gridCol w:w="6074"/>
      </w:tblGrid>
      <w:tr w:rsidTr="001056AB">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1056AB" w:rsidP="001056AB">
            <w:pPr>
              <w:pStyle w:val="BodyText"/>
            </w:pPr>
            <w:r w:rsidRPr="001056A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1056AB">
            <w:pPr>
              <w:pStyle w:val="BodyText"/>
              <w:rPr>
                <w:lang w:val="en-NZ"/>
              </w:rPr>
            </w:pPr>
            <w:r w:rsidRPr="001056AB">
              <w:rPr>
                <w:rStyle w:val="SpecialBold"/>
              </w:rPr>
              <w:t>Comments</w:t>
            </w:r>
          </w:p>
        </w:tc>
      </w:tr>
      <w:tr w:rsidTr="001056A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056AB">
            <w:pPr>
              <w:pStyle w:val="BodyText"/>
              <w:rPr>
                <w:lang w:val="en-NZ"/>
              </w:rPr>
            </w:pPr>
            <w:r w:rsidRPr="001056A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056AB" w:rsidP="001056AB">
            <w:pPr>
              <w:pStyle w:val="BodyText"/>
            </w:pPr>
            <w:r w:rsidRPr="001056AB">
              <w:t>Release 2 HLTOHC010 Use basic oral health screening tools supersedes and is equivalent to Release 1 HLTOHC010 Use basic oral health screening tools.</w:t>
            </w:r>
          </w:p>
          <w:p w:rsidR="00000000" w:rsidRPr="001056AB" w:rsidP="001056AB">
            <w:pPr>
              <w:pStyle w:val="BodyText"/>
            </w:pPr>
            <w:r w:rsidRPr="001056AB">
              <w:t>Updated:</w:t>
            </w:r>
          </w:p>
          <w:p w:rsidR="00000000" w:rsidP="001056AB">
            <w:pPr>
              <w:pStyle w:val="BodyText"/>
              <w:rPr>
                <w:lang w:val="en-NZ"/>
              </w:rPr>
            </w:pPr>
            <w:r w:rsidRPr="001056AB">
              <w:t>Mapping details and minor corrections.</w:t>
            </w:r>
          </w:p>
        </w:tc>
      </w:tr>
      <w:tr w:rsidTr="001056A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056AB">
            <w:pPr>
              <w:pStyle w:val="BodyText"/>
              <w:rPr>
                <w:lang w:val="en-NZ"/>
              </w:rPr>
            </w:pPr>
            <w:r w:rsidRPr="001056A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056AB" w:rsidP="001056AB">
            <w:pPr>
              <w:pStyle w:val="BodyText"/>
            </w:pPr>
            <w:r w:rsidRPr="001056AB">
              <w:t>HLTOHC010 Use basic oral health screening tools supersedes and is equivalent to HLTOHC005 Use basic oral health screening tools.</w:t>
            </w:r>
          </w:p>
        </w:tc>
      </w:tr>
    </w:tbl>
    <w:p w:rsidR="00000000" w:rsidRPr="001056AB" w:rsidP="001056AB">
      <w:pPr>
        <w:pStyle w:val="BodyText"/>
      </w:pPr>
    </w:p>
    <w:p w:rsidR="00000000" w:rsidRPr="001056AB" w:rsidP="001056AB">
      <w:pPr>
        <w:pStyle w:val="AllowPageBreak"/>
      </w:pPr>
    </w:p>
    <w:p w:rsidR="00000000" w:rsidRPr="001056AB" w:rsidP="001056AB">
      <w:pPr>
        <w:pStyle w:val="Heading1"/>
      </w:pPr>
      <w:bookmarkStart w:id="2" w:name="O_1200213"/>
      <w:bookmarkEnd w:id="2"/>
      <w:r w:rsidRPr="001056AB">
        <w:t>Application</w:t>
      </w:r>
    </w:p>
    <w:p w:rsidR="00000000" w:rsidRPr="001056AB" w:rsidP="007B7214">
      <w:pPr>
        <w:pStyle w:val="BodyText"/>
      </w:pPr>
      <w:r w:rsidRPr="001056AB">
        <w:t>This unit describes the performance outcomes, skills and knowledge required to prepare for and conduct authorised oral health screening tests within scope of work role to identify the need for referral to an oral health practitioner or for additional educa</w:t>
      </w:r>
      <w:r w:rsidRPr="001056AB">
        <w:t>tion or instruction in oral health care.</w:t>
      </w:r>
    </w:p>
    <w:p w:rsidR="00000000" w:rsidRPr="001056AB" w:rsidP="007B7214">
      <w:pPr>
        <w:pStyle w:val="BodyText"/>
      </w:pPr>
      <w:r w:rsidRPr="001056AB">
        <w:t>This unit applies to workers in a range of health and community service environments where authorised basic oral health screening is carried out within a structured oral health care plan.</w:t>
      </w:r>
    </w:p>
    <w:p w:rsidR="00000000" w:rsidRPr="001056AB" w:rsidP="007B7214">
      <w:pPr>
        <w:pStyle w:val="BodyText"/>
      </w:pPr>
      <w:r w:rsidRPr="001056AB">
        <w:t>The skills in this unit mus</w:t>
      </w:r>
      <w:r w:rsidRPr="001056AB">
        <w:t>t be applied in accordance with Commonwealth and State/Territory legislation, Australian standards and industry codes of practice.</w:t>
      </w:r>
    </w:p>
    <w:p w:rsidR="00000000" w:rsidRPr="001056AB" w:rsidP="007B7214">
      <w:pPr>
        <w:pStyle w:val="BodyText"/>
      </w:pPr>
      <w:r w:rsidRPr="001056AB">
        <w:t>No occupational licensing, certification or specific legislative requirements apply to this unit at the time of publication.</w:t>
      </w:r>
    </w:p>
    <w:p w:rsidR="00000000" w:rsidRPr="001056AB" w:rsidP="001056AB">
      <w:pPr>
        <w:pStyle w:val="Heading1"/>
      </w:pPr>
      <w:bookmarkStart w:id="3" w:name="O_1200212"/>
      <w:bookmarkEnd w:id="3"/>
      <w:r w:rsidRPr="001056AB">
        <w:t>Pre-requisite Unit</w:t>
      </w:r>
    </w:p>
    <w:p w:rsidR="00000000" w:rsidRPr="001056AB" w:rsidP="007B7214">
      <w:pPr>
        <w:pStyle w:val="BodyText"/>
      </w:pPr>
      <w:r w:rsidRPr="001056AB">
        <w:t xml:space="preserve">Nil </w:t>
      </w:r>
    </w:p>
    <w:p w:rsidR="00000000" w:rsidRPr="001056AB" w:rsidP="001056AB">
      <w:pPr>
        <w:pStyle w:val="Heading1"/>
      </w:pPr>
      <w:bookmarkStart w:id="4" w:name="O_1200211"/>
      <w:bookmarkEnd w:id="4"/>
      <w:r w:rsidRPr="001056AB">
        <w:t>Competency Field</w:t>
      </w:r>
    </w:p>
    <w:p w:rsidR="00000000" w:rsidRPr="001056AB" w:rsidP="007B7214">
      <w:pPr>
        <w:pStyle w:val="BodyText"/>
      </w:pPr>
      <w:r w:rsidRPr="001056AB">
        <w:t xml:space="preserve">Nil </w:t>
      </w:r>
    </w:p>
    <w:p w:rsidR="00000000" w:rsidRPr="001056AB" w:rsidP="001056AB">
      <w:pPr>
        <w:pStyle w:val="Heading1"/>
      </w:pPr>
      <w:bookmarkStart w:id="5" w:name="O_1200210"/>
      <w:bookmarkEnd w:id="5"/>
      <w:r w:rsidRPr="001056AB">
        <w:t>Unit Sector</w:t>
      </w:r>
    </w:p>
    <w:p w:rsidR="00000000" w:rsidRPr="001056AB" w:rsidP="007B7214">
      <w:pPr>
        <w:pStyle w:val="BodyText"/>
      </w:pPr>
      <w:r w:rsidRPr="001056AB">
        <w:t>Oral Health</w:t>
      </w:r>
    </w:p>
    <w:p w:rsidR="00000000" w:rsidRPr="001056AB" w:rsidP="001056AB">
      <w:pPr>
        <w:pStyle w:val="Heading1"/>
      </w:pPr>
      <w:bookmarkStart w:id="6" w:name="O_1200209"/>
      <w:bookmarkEnd w:id="6"/>
      <w:r w:rsidRPr="001056AB">
        <w:t>Elements and Performance Criteria</w:t>
      </w:r>
    </w:p>
    <w:tbl>
      <w:tblPr>
        <w:tblW w:w="0" w:type="auto"/>
        <w:tblLayout w:type="fixed"/>
        <w:tblCellMar>
          <w:left w:w="62" w:type="dxa"/>
          <w:right w:w="62" w:type="dxa"/>
        </w:tblCellMar>
        <w:tblLook w:val="0000"/>
      </w:tblPr>
      <w:tblGrid>
        <w:gridCol w:w="2694"/>
        <w:gridCol w:w="6350"/>
      </w:tblGrid>
      <w:tr w:rsidTr="001056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056AB" w:rsidP="001056AB">
            <w:pPr>
              <w:pStyle w:val="BodyText"/>
            </w:pPr>
            <w:r w:rsidRPr="001056A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056AB">
            <w:pPr>
              <w:pStyle w:val="BodyText"/>
              <w:rPr>
                <w:lang w:val="en-NZ"/>
              </w:rPr>
            </w:pPr>
            <w:r w:rsidRPr="001056AB">
              <w:rPr>
                <w:rStyle w:val="SpecialBold"/>
              </w:rPr>
              <w:t>PERFORMANCE</w:t>
            </w:r>
            <w:r w:rsidRPr="001056AB">
              <w:t xml:space="preserve"> </w:t>
            </w:r>
            <w:r w:rsidRPr="001056AB">
              <w:rPr>
                <w:rStyle w:val="SpecialBold"/>
              </w:rPr>
              <w:t>CRITERIA</w:t>
            </w:r>
          </w:p>
        </w:tc>
      </w:tr>
      <w:tr w:rsidTr="001056A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056AB" w:rsidP="001056AB">
            <w:pPr>
              <w:pStyle w:val="BodyText"/>
            </w:pPr>
            <w:r w:rsidRPr="001056A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056AB">
            <w:pPr>
              <w:pStyle w:val="BodyText"/>
              <w:rPr>
                <w:lang w:val="en-NZ"/>
              </w:rPr>
            </w:pPr>
            <w:r w:rsidRPr="001056AB">
              <w:rPr>
                <w:rStyle w:val="Emphasis"/>
              </w:rPr>
              <w:t>Performance criteria describe the performance needed to demonstrate achievement of the element.</w:t>
            </w:r>
          </w:p>
        </w:tc>
      </w:tr>
      <w:tr w:rsidTr="001056A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056AB">
            <w:pPr>
              <w:pStyle w:val="List"/>
              <w:rPr>
                <w:lang w:val="en-NZ"/>
              </w:rPr>
            </w:pPr>
            <w:r w:rsidRPr="001056AB">
              <w:t>1.  Prepare for and participate in basic routine oral health screening services.</w:t>
            </w:r>
          </w:p>
        </w:tc>
        <w:tc>
          <w:tcPr>
            <w:tcW w:w="6350" w:type="dxa"/>
            <w:tcBorders>
              <w:top w:val="nil"/>
              <w:left w:val="nil"/>
              <w:bottom w:val="nil"/>
              <w:right w:val="nil"/>
            </w:tcBorders>
            <w:tcMar>
              <w:top w:w="0" w:type="dxa"/>
              <w:left w:w="62" w:type="dxa"/>
              <w:bottom w:w="0" w:type="dxa"/>
              <w:right w:w="62" w:type="dxa"/>
            </w:tcMar>
          </w:tcPr>
          <w:p w:rsidR="00000000" w:rsidRPr="001056AB" w:rsidP="001056AB">
            <w:pPr>
              <w:pStyle w:val="List"/>
            </w:pPr>
            <w:r w:rsidRPr="001056AB">
              <w:t>1.1. Explain screening procedure and rationale to patients, check understandin</w:t>
            </w:r>
            <w:r w:rsidRPr="001056AB">
              <w:t>g and obtain consent from patient or carer to conduct screening.</w:t>
            </w:r>
          </w:p>
          <w:p w:rsidR="00000000" w:rsidRPr="001056AB" w:rsidP="001056AB">
            <w:pPr>
              <w:pStyle w:val="List"/>
            </w:pPr>
            <w:r w:rsidRPr="001056AB">
              <w:t>1.2. Prepare screening materials, instruments and tools.</w:t>
            </w:r>
          </w:p>
          <w:p w:rsidR="00000000" w:rsidRPr="001056AB" w:rsidP="001056AB">
            <w:pPr>
              <w:pStyle w:val="List"/>
            </w:pPr>
            <w:r w:rsidRPr="001056AB">
              <w:t xml:space="preserve">1.3. Determine patient ability to self-report and select most suitable tools and approach. </w:t>
            </w:r>
          </w:p>
          <w:p w:rsidR="00000000" w:rsidRPr="001056AB" w:rsidP="001056AB">
            <w:pPr>
              <w:pStyle w:val="List"/>
            </w:pPr>
            <w:r w:rsidRPr="001056AB">
              <w:t>1.4. Comply with directions of screening t</w:t>
            </w:r>
            <w:r w:rsidRPr="001056AB">
              <w:t>ool instructions, guidelines or training approved by the oral health sector.</w:t>
            </w:r>
          </w:p>
          <w:p w:rsidR="00000000" w:rsidP="001056AB">
            <w:pPr>
              <w:pStyle w:val="List"/>
              <w:rPr>
                <w:lang w:val="en-NZ"/>
              </w:rPr>
            </w:pPr>
            <w:r w:rsidRPr="001056AB">
              <w:t xml:space="preserve">1.5. Use screening tool to question patients about their oral health and take into account specific individual issues. </w:t>
            </w:r>
          </w:p>
        </w:tc>
      </w:tr>
      <w:tr w:rsidTr="001056A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056AB">
            <w:pPr>
              <w:pStyle w:val="List"/>
              <w:rPr>
                <w:lang w:val="en-NZ"/>
              </w:rPr>
            </w:pPr>
            <w:r w:rsidRPr="001056AB">
              <w:t>2.  Follow screening tool questioning, observa</w:t>
            </w:r>
            <w:r w:rsidRPr="001056AB">
              <w:t>tion and recording requirements.</w:t>
            </w:r>
          </w:p>
        </w:tc>
        <w:tc>
          <w:tcPr>
            <w:tcW w:w="6350" w:type="dxa"/>
            <w:tcBorders>
              <w:top w:val="nil"/>
              <w:left w:val="nil"/>
              <w:bottom w:val="nil"/>
              <w:right w:val="nil"/>
            </w:tcBorders>
            <w:tcMar>
              <w:top w:w="0" w:type="dxa"/>
              <w:left w:w="62" w:type="dxa"/>
              <w:bottom w:w="0" w:type="dxa"/>
              <w:right w:w="62" w:type="dxa"/>
            </w:tcMar>
          </w:tcPr>
          <w:p w:rsidR="00000000" w:rsidRPr="001056AB" w:rsidP="001056AB">
            <w:pPr>
              <w:pStyle w:val="List"/>
            </w:pPr>
            <w:r w:rsidRPr="001056AB">
              <w:t>2.1. Record and document observations about patient oral health according to tool and organisation guidelines.</w:t>
            </w:r>
          </w:p>
          <w:p w:rsidR="00000000" w:rsidRPr="001056AB" w:rsidP="001056AB">
            <w:pPr>
              <w:pStyle w:val="List"/>
            </w:pPr>
            <w:r w:rsidRPr="001056AB">
              <w:t>2.2. Consult with other health personnel where necessary to confirm or clarify screening results and record proc</w:t>
            </w:r>
            <w:r w:rsidRPr="001056AB">
              <w:t>esses and outcomes.</w:t>
            </w:r>
          </w:p>
          <w:p w:rsidR="00000000" w:rsidRPr="001056AB" w:rsidP="001056AB">
            <w:pPr>
              <w:pStyle w:val="List"/>
            </w:pPr>
            <w:r w:rsidRPr="001056AB">
              <w:t>2.3. Interpret findings based on screening results and report results to health practitioner or oral health team.</w:t>
            </w:r>
          </w:p>
          <w:p w:rsidR="00000000" w:rsidP="001056AB">
            <w:pPr>
              <w:pStyle w:val="List"/>
              <w:rPr>
                <w:lang w:val="en-NZ"/>
              </w:rPr>
            </w:pPr>
            <w:r w:rsidRPr="001056AB">
              <w:t>2.4. Document reporting processes using information from patient or carer and own observations.</w:t>
            </w:r>
          </w:p>
        </w:tc>
      </w:tr>
      <w:tr w:rsidTr="001056A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056AB">
            <w:pPr>
              <w:pStyle w:val="List"/>
              <w:rPr>
                <w:lang w:val="en-NZ"/>
              </w:rPr>
            </w:pPr>
            <w:r w:rsidRPr="001056AB">
              <w:t>3.  Review screening proc</w:t>
            </w:r>
            <w:r w:rsidRPr="001056AB">
              <w:t>ess and referral outcomes.</w:t>
            </w:r>
          </w:p>
        </w:tc>
        <w:tc>
          <w:tcPr>
            <w:tcW w:w="6350" w:type="dxa"/>
            <w:tcBorders>
              <w:top w:val="nil"/>
              <w:left w:val="nil"/>
              <w:bottom w:val="nil"/>
              <w:right w:val="nil"/>
            </w:tcBorders>
            <w:tcMar>
              <w:top w:w="0" w:type="dxa"/>
              <w:left w:w="62" w:type="dxa"/>
              <w:bottom w:w="0" w:type="dxa"/>
              <w:right w:w="62" w:type="dxa"/>
            </w:tcMar>
          </w:tcPr>
          <w:p w:rsidR="00000000" w:rsidRPr="001056AB" w:rsidP="001056AB">
            <w:pPr>
              <w:pStyle w:val="List"/>
            </w:pPr>
            <w:r w:rsidRPr="001056AB">
              <w:t>3.1. Address identified needs for oral health education or assessment in consultation with others and refer where necessary.</w:t>
            </w:r>
          </w:p>
          <w:p w:rsidR="00000000" w:rsidRPr="001056AB" w:rsidP="001056AB">
            <w:pPr>
              <w:pStyle w:val="List"/>
            </w:pPr>
            <w:r w:rsidRPr="001056AB">
              <w:t>3.2. Discuss any issues or obstacles relating to referrals with patients and other relevant stakeholders</w:t>
            </w:r>
            <w:r w:rsidRPr="001056AB">
              <w:t>.</w:t>
            </w:r>
          </w:p>
          <w:p w:rsidR="00000000" w:rsidRPr="001056AB" w:rsidP="001056AB">
            <w:pPr>
              <w:pStyle w:val="List"/>
            </w:pPr>
            <w:r w:rsidRPr="001056AB">
              <w:t>3.3. Where screening was unsuccessful report and follow up according to organisational policies and procedures.</w:t>
            </w:r>
          </w:p>
          <w:p w:rsidR="00000000" w:rsidRPr="001056AB" w:rsidP="001056AB">
            <w:pPr>
              <w:pStyle w:val="List"/>
            </w:pPr>
            <w:r w:rsidRPr="001056AB">
              <w:t xml:space="preserve">3.4. Clarify screening effectiveness by obtaining feedback from patient and other relevant stakeholders and identify any issues in own use of </w:t>
            </w:r>
            <w:r w:rsidRPr="001056AB">
              <w:t>screening tools.</w:t>
            </w:r>
          </w:p>
        </w:tc>
      </w:tr>
    </w:tbl>
    <w:p w:rsidR="00000000" w:rsidRPr="001056AB" w:rsidP="001056AB">
      <w:pPr>
        <w:pStyle w:val="List"/>
      </w:pPr>
    </w:p>
    <w:p w:rsidR="00000000" w:rsidRPr="001056AB" w:rsidP="001056AB">
      <w:pPr>
        <w:pStyle w:val="AllowPageBreak"/>
      </w:pPr>
    </w:p>
    <w:p w:rsidR="00000000" w:rsidRPr="001056AB" w:rsidP="001056AB">
      <w:pPr>
        <w:pStyle w:val="Heading1"/>
      </w:pPr>
      <w:bookmarkStart w:id="7" w:name="O_1200208"/>
      <w:bookmarkEnd w:id="7"/>
      <w:r w:rsidRPr="001056AB">
        <w:t>Foundation Skills</w:t>
      </w:r>
    </w:p>
    <w:p w:rsidR="00000000" w:rsidRPr="001056AB" w:rsidP="007B7214">
      <w:pPr>
        <w:pStyle w:val="BodyText"/>
      </w:pPr>
      <w:r w:rsidRPr="001056AB">
        <w:t>Foundation skills essential to performance are explicit in the performance criteria of this unit of competency.</w:t>
      </w:r>
    </w:p>
    <w:p w:rsidR="00000000" w:rsidRPr="001056AB" w:rsidP="001056AB">
      <w:pPr>
        <w:pStyle w:val="Heading1"/>
      </w:pPr>
      <w:bookmarkStart w:id="8" w:name="O_1200207"/>
      <w:bookmarkEnd w:id="8"/>
      <w:r w:rsidRPr="001056AB">
        <w:t>Unit Mapping Information</w:t>
      </w:r>
    </w:p>
    <w:p w:rsidR="00000000" w:rsidRPr="001056AB" w:rsidP="007B7214">
      <w:pPr>
        <w:pStyle w:val="BodyText"/>
      </w:pPr>
      <w:r w:rsidRPr="001056AB">
        <w:t>HLTOHC010 Use basic oral health screening tools supersedes and is equivalent to HLTOHC005 Use basic oral health screening tools.</w:t>
      </w:r>
    </w:p>
    <w:p w:rsidR="00000000" w:rsidRPr="001056AB" w:rsidP="001056AB">
      <w:pPr>
        <w:pStyle w:val="Heading1"/>
      </w:pPr>
      <w:bookmarkStart w:id="9" w:name="O_1200215"/>
      <w:bookmarkEnd w:id="9"/>
      <w:r w:rsidRPr="001056AB">
        <w:t>Links</w:t>
      </w:r>
    </w:p>
    <w:p w:rsidR="00000000" w:rsidRPr="001056AB" w:rsidP="007B7214">
      <w:pPr>
        <w:pStyle w:val="BodyText"/>
      </w:pPr>
      <w:r w:rsidRPr="001056A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B043C">
        <w:rPr>
          <w:rStyle w:val="Hyperlink"/>
        </w:rPr>
        <w:t>https://vetnet.gov.au/Pages/TrainingDocs.aspx?q=ced1390f-48d9-4ab0-bd50-b015e5485705</w:t>
      </w:r>
      <w:r>
        <w:fldChar w:fldCharType="end"/>
      </w:r>
    </w:p>
    <w:p w:rsidR="00000000" w:rsidRPr="001056AB" w:rsidP="007B7214">
      <w:pPr>
        <w:pStyle w:val="BodyText"/>
        <w:sectPr w:rsidSect="001056AB">
          <w:headerReference w:type="default" r:id="rId10"/>
          <w:footerReference w:type="default" r:id="rId11"/>
          <w:pgSz w:w="11908" w:h="16833"/>
          <w:pgMar w:top="1702" w:right="1418" w:bottom="1702" w:left="1418" w:header="992" w:footer="992" w:gutter="0"/>
          <w:cols w:space="720"/>
          <w:noEndnote/>
          <w:docGrid w:linePitch="299"/>
        </w:sectPr>
      </w:pPr>
    </w:p>
    <w:p w:rsidR="00000000" w:rsidRPr="001056AB" w:rsidP="001056AB">
      <w:pPr>
        <w:pStyle w:val="SuperHeading"/>
      </w:pPr>
      <w:r w:rsidRPr="001056AB">
        <w:t>Assessment Requirements for HLTOHC010 Use basic oral health screening tools</w:t>
      </w:r>
    </w:p>
    <w:p w:rsidR="00000000" w:rsidRPr="001056AB" w:rsidP="001056AB">
      <w:pPr>
        <w:pStyle w:val="Heading1"/>
      </w:pPr>
      <w:bookmarkStart w:id="10" w:name="O_1200205"/>
      <w:bookmarkEnd w:id="10"/>
      <w:r w:rsidRPr="001056AB">
        <w:t>Modification History</w:t>
      </w:r>
    </w:p>
    <w:tbl>
      <w:tblPr>
        <w:tblW w:w="0" w:type="auto"/>
        <w:tblLayout w:type="fixed"/>
        <w:tblCellMar>
          <w:left w:w="62" w:type="dxa"/>
          <w:right w:w="62" w:type="dxa"/>
        </w:tblCellMar>
        <w:tblLook w:val="0000"/>
      </w:tblPr>
      <w:tblGrid>
        <w:gridCol w:w="3040"/>
        <w:gridCol w:w="6074"/>
      </w:tblGrid>
      <w:tr w:rsidTr="001056AB">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1056AB" w:rsidP="001056AB">
            <w:pPr>
              <w:pStyle w:val="BodyText"/>
            </w:pPr>
            <w:r w:rsidRPr="001056A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1056AB">
            <w:pPr>
              <w:pStyle w:val="BodyText"/>
              <w:rPr>
                <w:lang w:val="en-NZ"/>
              </w:rPr>
            </w:pPr>
            <w:r w:rsidRPr="001056AB">
              <w:rPr>
                <w:rStyle w:val="SpecialBold"/>
              </w:rPr>
              <w:t>Comments</w:t>
            </w:r>
          </w:p>
        </w:tc>
      </w:tr>
      <w:tr w:rsidTr="001056A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056AB">
            <w:pPr>
              <w:pStyle w:val="BodyText"/>
              <w:rPr>
                <w:lang w:val="en-NZ"/>
              </w:rPr>
            </w:pPr>
            <w:r w:rsidRPr="001056A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056AB" w:rsidP="001056AB">
            <w:pPr>
              <w:pStyle w:val="BodyText"/>
            </w:pPr>
            <w:r w:rsidRPr="001056AB">
              <w:t>Release 2 HLTOHC010 Use basic oral health screening tools supersedes and is equivalent to Release 1 HLTOHC010 Use basic oral health screening tools.</w:t>
            </w:r>
          </w:p>
          <w:p w:rsidR="00000000" w:rsidRPr="001056AB" w:rsidP="001056AB">
            <w:pPr>
              <w:pStyle w:val="BodyText"/>
            </w:pPr>
            <w:r w:rsidRPr="001056AB">
              <w:t>Updated:</w:t>
            </w:r>
          </w:p>
          <w:p w:rsidR="00000000" w:rsidP="001056AB">
            <w:pPr>
              <w:pStyle w:val="BodyText"/>
              <w:rPr>
                <w:lang w:val="en-NZ"/>
              </w:rPr>
            </w:pPr>
            <w:r w:rsidRPr="001056AB">
              <w:t>Mapping details and minor corrections.</w:t>
            </w:r>
          </w:p>
        </w:tc>
      </w:tr>
      <w:tr w:rsidTr="001056A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056AB">
            <w:pPr>
              <w:pStyle w:val="BodyText"/>
              <w:rPr>
                <w:lang w:val="en-NZ"/>
              </w:rPr>
            </w:pPr>
            <w:r w:rsidRPr="001056A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056AB" w:rsidP="001056AB">
            <w:pPr>
              <w:pStyle w:val="BodyText"/>
            </w:pPr>
            <w:r w:rsidRPr="001056AB">
              <w:t xml:space="preserve">HLTOHC010 Use basic oral health screening tools </w:t>
            </w:r>
            <w:r w:rsidRPr="001056AB">
              <w:t>supersedes and is equivalent to HLTOHC005 Use basic oral health screening tools.</w:t>
            </w:r>
          </w:p>
        </w:tc>
      </w:tr>
    </w:tbl>
    <w:p w:rsidR="00000000" w:rsidRPr="001056AB" w:rsidP="001056AB">
      <w:pPr>
        <w:pStyle w:val="BodyText"/>
      </w:pPr>
    </w:p>
    <w:p w:rsidR="00000000" w:rsidRPr="001056AB" w:rsidP="001056AB">
      <w:pPr>
        <w:pStyle w:val="AllowPageBreak"/>
      </w:pPr>
    </w:p>
    <w:p w:rsidR="00000000" w:rsidRPr="001056AB" w:rsidP="001056AB">
      <w:pPr>
        <w:pStyle w:val="Heading1"/>
      </w:pPr>
      <w:bookmarkStart w:id="11" w:name="O_1200204"/>
      <w:bookmarkEnd w:id="11"/>
      <w:r w:rsidRPr="001056AB">
        <w:t>Performance Evidence</w:t>
      </w:r>
    </w:p>
    <w:p w:rsidR="00000000" w:rsidRPr="001056AB" w:rsidP="007B7214">
      <w:pPr>
        <w:pStyle w:val="BodyText"/>
      </w:pPr>
      <w:r w:rsidRPr="001056AB">
        <w:t xml:space="preserve">Evidence of the ability to complete tasks outlined in elements and performance criteria of this unit in the context of the job role, </w:t>
      </w:r>
      <w:r w:rsidRPr="001056AB">
        <w:t>and:</w:t>
      </w:r>
    </w:p>
    <w:p w:rsidR="00000000" w:rsidRPr="001056AB" w:rsidP="001056AB">
      <w:pPr>
        <w:pStyle w:val="ListBullet"/>
      </w:pPr>
      <w:r w:rsidRPr="001056AB">
        <w:t>communicate effectively with at least five patients to establish a relationship of trust and provide oral health information, including gaining patient’s understanding of how the oral health screening tools are used</w:t>
      </w:r>
    </w:p>
    <w:p w:rsidR="00000000" w:rsidRPr="001056AB" w:rsidP="001056AB">
      <w:pPr>
        <w:pStyle w:val="ListBullet"/>
      </w:pPr>
      <w:r w:rsidRPr="001056AB">
        <w:t>use relevant endorsed oral health screening tools and techniques on five different patients, including:</w:t>
      </w:r>
    </w:p>
    <w:p w:rsidR="00000000" w:rsidRPr="001056AB" w:rsidP="001056AB">
      <w:pPr>
        <w:pStyle w:val="ListBullet2"/>
      </w:pPr>
      <w:r w:rsidRPr="001056AB">
        <w:t>interpreting and reporting results</w:t>
      </w:r>
    </w:p>
    <w:p w:rsidR="00000000" w:rsidRPr="001056AB" w:rsidP="001056AB">
      <w:pPr>
        <w:pStyle w:val="ListBullet2"/>
      </w:pPr>
      <w:r w:rsidRPr="001056AB">
        <w:t>documentation of findings</w:t>
      </w:r>
    </w:p>
    <w:p w:rsidR="00000000" w:rsidRPr="001056AB" w:rsidP="001056AB">
      <w:pPr>
        <w:pStyle w:val="ListBullet2"/>
      </w:pPr>
      <w:r w:rsidRPr="001056AB">
        <w:t>referral of patients as required.</w:t>
      </w:r>
    </w:p>
    <w:p w:rsidR="00000000" w:rsidRPr="001056AB" w:rsidP="001056AB">
      <w:pPr>
        <w:pStyle w:val="AllowPageBreak"/>
      </w:pPr>
    </w:p>
    <w:p w:rsidR="00000000" w:rsidRPr="001056AB" w:rsidP="001056AB">
      <w:pPr>
        <w:pStyle w:val="Heading1"/>
      </w:pPr>
      <w:bookmarkStart w:id="12" w:name="O_1200203"/>
      <w:bookmarkEnd w:id="12"/>
      <w:r w:rsidRPr="001056AB">
        <w:t>Knowledge Evidence</w:t>
      </w:r>
    </w:p>
    <w:p w:rsidR="00000000" w:rsidRPr="001056AB" w:rsidP="007B7214">
      <w:pPr>
        <w:pStyle w:val="BodyText"/>
      </w:pPr>
      <w:r w:rsidRPr="001056AB">
        <w:t>Demonstrated knowl</w:t>
      </w:r>
      <w:r w:rsidRPr="001056AB">
        <w:t>edge required to complete the tasks outlined in elements and performance criteria of this unit:</w:t>
      </w:r>
    </w:p>
    <w:p w:rsidR="00000000" w:rsidRPr="001056AB" w:rsidP="001056AB">
      <w:pPr>
        <w:pStyle w:val="ListBullet"/>
      </w:pPr>
      <w:r w:rsidRPr="001056AB">
        <w:t>how to use the relevant endorsed oral health screening tools and techniques including:</w:t>
      </w:r>
    </w:p>
    <w:p w:rsidR="00000000" w:rsidRPr="001056AB" w:rsidP="001056AB">
      <w:pPr>
        <w:pStyle w:val="ListBullet2"/>
      </w:pPr>
      <w:r w:rsidRPr="001056AB">
        <w:t>preparation of screening tools</w:t>
      </w:r>
    </w:p>
    <w:p w:rsidR="00000000" w:rsidRPr="001056AB" w:rsidP="001056AB">
      <w:pPr>
        <w:pStyle w:val="ListBullet2"/>
      </w:pPr>
      <w:r w:rsidRPr="001056AB">
        <w:t>communication strategies to aid in scree</w:t>
      </w:r>
      <w:r w:rsidRPr="001056AB">
        <w:t>ning instrument questioning</w:t>
      </w:r>
    </w:p>
    <w:p w:rsidR="00000000" w:rsidRPr="001056AB" w:rsidP="001056AB">
      <w:pPr>
        <w:pStyle w:val="ListBullet2"/>
      </w:pPr>
      <w:r w:rsidRPr="001056AB">
        <w:t>evaluation of tool effectiveness</w:t>
      </w:r>
    </w:p>
    <w:p w:rsidR="00000000" w:rsidRPr="001056AB" w:rsidP="001056AB">
      <w:pPr>
        <w:pStyle w:val="ListBullet2"/>
      </w:pPr>
      <w:r w:rsidRPr="001056AB">
        <w:t>follow-up on unsuccessful screening</w:t>
      </w:r>
    </w:p>
    <w:p w:rsidR="00000000" w:rsidRPr="001056AB" w:rsidP="001056AB">
      <w:pPr>
        <w:pStyle w:val="ListBullet"/>
      </w:pPr>
      <w:r w:rsidRPr="001056AB">
        <w:t>oral health screening instruments and ways to respond to the results, including:</w:t>
      </w:r>
    </w:p>
    <w:p w:rsidR="00000000" w:rsidRPr="001056AB" w:rsidP="001056AB">
      <w:pPr>
        <w:pStyle w:val="ListBullet2"/>
      </w:pPr>
      <w:r w:rsidRPr="001056AB">
        <w:t>referral pathways and processes</w:t>
      </w:r>
    </w:p>
    <w:p w:rsidR="00000000" w:rsidRPr="001056AB" w:rsidP="001056AB">
      <w:pPr>
        <w:pStyle w:val="ListBullet2"/>
      </w:pPr>
      <w:r w:rsidRPr="001056AB">
        <w:t>screening tools, procedures and associated rationale for use</w:t>
      </w:r>
    </w:p>
    <w:p w:rsidR="00000000" w:rsidRPr="001056AB" w:rsidP="001056AB">
      <w:pPr>
        <w:pStyle w:val="ListBullet2"/>
      </w:pPr>
      <w:r w:rsidRPr="001056AB">
        <w:t>workplace policies, procedures and programs for screening</w:t>
      </w:r>
    </w:p>
    <w:p w:rsidR="00000000" w:rsidRPr="001056AB" w:rsidP="001056AB">
      <w:pPr>
        <w:pStyle w:val="ListBullet"/>
      </w:pPr>
      <w:r w:rsidRPr="001056AB">
        <w:t>impacts of existing health conditions on oral health</w:t>
      </w:r>
    </w:p>
    <w:p w:rsidR="00000000" w:rsidRPr="001056AB" w:rsidP="001056AB">
      <w:pPr>
        <w:pStyle w:val="ListBullet"/>
      </w:pPr>
      <w:r w:rsidRPr="001056AB">
        <w:t xml:space="preserve">relevant National and State or Territory government policy, programs and reporting </w:t>
      </w:r>
      <w:r w:rsidRPr="001056AB">
        <w:t>processes for oral health.</w:t>
      </w:r>
    </w:p>
    <w:p w:rsidR="00000000" w:rsidRPr="001056AB" w:rsidP="001056AB">
      <w:pPr>
        <w:pStyle w:val="AllowPageBreak"/>
      </w:pPr>
    </w:p>
    <w:p w:rsidR="00000000" w:rsidRPr="001056AB" w:rsidP="001056AB">
      <w:pPr>
        <w:pStyle w:val="Heading1"/>
      </w:pPr>
      <w:bookmarkStart w:id="13" w:name="O_1200202"/>
      <w:bookmarkEnd w:id="13"/>
      <w:r w:rsidRPr="001056AB">
        <w:t>Assessment Conditions</w:t>
      </w:r>
    </w:p>
    <w:p w:rsidR="00000000" w:rsidRPr="001056AB" w:rsidP="007B7214">
      <w:pPr>
        <w:pStyle w:val="BodyText"/>
      </w:pPr>
      <w:r w:rsidRPr="001056AB">
        <w:t>Skills must be demonstrated in the workplace or in a simulated environment that reflects workplace conditions. Where simulation is used, it must reflect real working conditions by modellin</w:t>
      </w:r>
      <w:r w:rsidRPr="001056AB">
        <w:t>g industry operating conditions and contingencies.</w:t>
      </w:r>
    </w:p>
    <w:p w:rsidR="00000000" w:rsidRPr="001056AB" w:rsidP="007B7214">
      <w:pPr>
        <w:pStyle w:val="BodyText"/>
      </w:pPr>
      <w:r w:rsidRPr="001056AB">
        <w:t>Assessment must ensure:</w:t>
      </w:r>
    </w:p>
    <w:p w:rsidR="00000000" w:rsidRPr="001056AB" w:rsidP="001056AB">
      <w:pPr>
        <w:pStyle w:val="ListBullet"/>
      </w:pPr>
      <w:r w:rsidRPr="001056AB">
        <w:t>access to suitable facilities, equipment and resources including:</w:t>
      </w:r>
    </w:p>
    <w:p w:rsidR="00000000" w:rsidRPr="001056AB" w:rsidP="001056AB">
      <w:pPr>
        <w:pStyle w:val="ListBullet2"/>
      </w:pPr>
      <w:r w:rsidRPr="001056AB">
        <w:t>oral health screening tools and instruments</w:t>
      </w:r>
    </w:p>
    <w:p w:rsidR="00000000" w:rsidRPr="001056AB" w:rsidP="001056AB">
      <w:pPr>
        <w:pStyle w:val="ListBullet"/>
      </w:pPr>
      <w:r w:rsidRPr="001056AB">
        <w:t>access to current Dental Board of Australia (DBA) and Australian Health Practitioner Regulation Agency (AHPRA) guidelines</w:t>
      </w:r>
    </w:p>
    <w:p w:rsidR="00000000" w:rsidRPr="001056AB" w:rsidP="001056AB">
      <w:pPr>
        <w:pStyle w:val="ListBullet"/>
      </w:pPr>
      <w:r w:rsidRPr="001056AB">
        <w:t>access to current Dental Board of Australia (DBA) infection control and record keeping guidelines</w:t>
      </w:r>
    </w:p>
    <w:p w:rsidR="00000000" w:rsidRPr="001056AB" w:rsidP="001056AB">
      <w:pPr>
        <w:pStyle w:val="ListBullet"/>
      </w:pPr>
      <w:r w:rsidRPr="001056AB">
        <w:t>modelling of industry operating cond</w:t>
      </w:r>
      <w:r w:rsidRPr="001056AB">
        <w:t>itions including access to people for simulations and scenarios in oral health care work</w:t>
      </w:r>
    </w:p>
    <w:p w:rsidR="00000000" w:rsidRPr="001056AB" w:rsidP="007B7214">
      <w:pPr>
        <w:pStyle w:val="BodyText"/>
      </w:pPr>
      <w:r w:rsidRPr="001056AB">
        <w:t>Assessors must satisfy the Standards for Registered Training Organisations’ requirements for assessors.</w:t>
      </w:r>
    </w:p>
    <w:p w:rsidR="00000000" w:rsidRPr="001056AB" w:rsidP="001056AB">
      <w:pPr>
        <w:pStyle w:val="Heading1"/>
      </w:pPr>
      <w:bookmarkStart w:id="14" w:name="O_1200216"/>
      <w:bookmarkEnd w:id="14"/>
      <w:r w:rsidRPr="001056AB">
        <w:t>Links</w:t>
      </w:r>
    </w:p>
    <w:p w:rsidR="00000000" w:rsidRPr="001056AB" w:rsidP="007B7214">
      <w:pPr>
        <w:pStyle w:val="BodyText"/>
      </w:pPr>
      <w:r w:rsidRPr="001056AB">
        <w:t>Companion Volume implementation guides</w:t>
      </w:r>
      <w:r w:rsidRPr="001056AB">
        <w:t xml:space="preserve"> are found in VETNet - </w:t>
      </w:r>
      <w:r>
        <w:fldChar w:fldCharType="begin"/>
      </w:r>
      <w:r>
        <w:instrText xml:space="preserve"> HYPERLINK "https://vetnet.gov.au/Pages/TrainingDocs.aspx?q=ced1390f-48d9-4ab0-bd50-b015e5485705" </w:instrText>
      </w:r>
      <w:r>
        <w:fldChar w:fldCharType="separate"/>
      </w:r>
      <w:r w:rsidRPr="006B043C">
        <w:rPr>
          <w:rStyle w:val="Hyperlink"/>
        </w:rPr>
        <w:t>https://vetnet.gov.au/Pages/TrainingDocs.aspx?q=ced1390f-48d9-4ab0-bd50-b015e5485705</w:t>
      </w:r>
      <w:r>
        <w:fldChar w:fldCharType="end"/>
      </w:r>
    </w:p>
    <w:p w:rsidR="00000000" w:rsidRPr="001056AB" w:rsidP="001056AB"/>
    <w:sectPr w:rsidSect="001056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6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6AB" w:rsidRPr="007B7214" w:rsidP="007B7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6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14" w:rsidP="001056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7214" w:rsidP="001056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B7214" w:rsidP="001056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6AB" w:rsidP="001056AB">
    <w:pPr>
      <w:pStyle w:val="Footer"/>
      <w:framePr w:wrap="around"/>
    </w:pPr>
    <w:r>
      <w:fldChar w:fldCharType="begin"/>
    </w:r>
    <w:r>
      <w:instrText xml:space="preserve"> DOCPROPERTY  Subject  \* MERGEFORMAT </w:instrText>
    </w:r>
    <w:r>
      <w:fldChar w:fldCharType="separate"/>
    </w:r>
    <w:r w:rsidR="007B7214">
      <w:t>Approved</w:t>
    </w:r>
    <w:r w:rsidR="007B7214">
      <w:fldChar w:fldCharType="end"/>
    </w:r>
    <w:r>
      <w:tab/>
      <w:t xml:space="preserve">Page </w:t>
    </w:r>
    <w:r>
      <w:fldChar w:fldCharType="begin"/>
    </w:r>
    <w:r>
      <w:instrText xml:space="preserve"> PAGE  \* Arabic  \* MERGEFORMAT </w:instrText>
    </w:r>
    <w:r>
      <w:fldChar w:fldCharType="separate"/>
    </w:r>
    <w:r w:rsidR="007B72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7214">
      <w:rPr>
        <w:noProof/>
      </w:rPr>
      <w:t>4</w:t>
    </w:r>
    <w:r>
      <w:rPr>
        <w:noProof/>
      </w:rPr>
      <w:fldChar w:fldCharType="end"/>
    </w:r>
  </w:p>
  <w:p w:rsidR="001056AB" w:rsidP="001056AB">
    <w:pPr>
      <w:pStyle w:val="Footer"/>
      <w:framePr w:wrap="around"/>
    </w:pPr>
    <w:r>
      <w:t xml:space="preserve">© Commonwealth of Australia, </w:t>
    </w:r>
    <w:r>
      <w:fldChar w:fldCharType="begin"/>
    </w:r>
    <w:r>
      <w:instrText xml:space="preserve"> DATE  \@ "yyyy"  \* MERGEFORMAT </w:instrText>
    </w:r>
    <w:r>
      <w:fldChar w:fldCharType="separate"/>
    </w:r>
    <w:r w:rsidR="007B7214">
      <w:rPr>
        <w:noProof/>
      </w:rPr>
      <w:t>2025</w:t>
    </w:r>
    <w:r>
      <w:fldChar w:fldCharType="end"/>
    </w:r>
    <w:r>
      <w:tab/>
    </w:r>
    <w:r>
      <w:fldChar w:fldCharType="begin"/>
    </w:r>
    <w:r>
      <w:instrText xml:space="preserve"> DOCPROPERTY  Author  \* MERGEFORMAT </w:instrText>
    </w:r>
    <w:r>
      <w:fldChar w:fldCharType="separate"/>
    </w:r>
    <w:r w:rsidR="007B7214">
      <w:t>HumanAbility</w:t>
    </w:r>
    <w:r w:rsidR="007B7214">
      <w:fldChar w:fldCharType="end"/>
    </w:r>
  </w:p>
  <w:p w:rsidR="001056AB" w:rsidP="001056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6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56AB" w:rsidRPr="007B7214" w:rsidP="007B72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6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14" w:rsidRPr="002D2AF8" w:rsidP="001056AB">
    <w:pPr>
      <w:pStyle w:val="Header"/>
      <w:framePr w:wrap="around"/>
    </w:pPr>
    <w:r>
      <w:fldChar w:fldCharType="begin"/>
    </w:r>
    <w:r>
      <w:instrText xml:space="preserve"> TITLE   \* MERGEFORMAT </w:instrText>
    </w:r>
    <w:r>
      <w:fldChar w:fldCharType="separate"/>
    </w:r>
    <w:r>
      <w:t>HLTOHC010 Use basic oral health screening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7214" w:rsidP="001056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6AB" w:rsidRPr="002D2AF8" w:rsidP="001056AB">
    <w:pPr>
      <w:pStyle w:val="Header"/>
      <w:framePr w:wrap="around"/>
    </w:pPr>
    <w:r>
      <w:fldChar w:fldCharType="begin"/>
    </w:r>
    <w:r>
      <w:instrText xml:space="preserve"> TITLE   \* MERGEFORMAT </w:instrText>
    </w:r>
    <w:r>
      <w:fldChar w:fldCharType="separate"/>
    </w:r>
    <w:r w:rsidR="007B7214">
      <w:t>HLTOHC010 Use basic oral health screening tools</w:t>
    </w:r>
    <w:r w:rsidR="007B7214">
      <w:fldChar w:fldCharType="end"/>
    </w:r>
    <w:r>
      <w:tab/>
      <w:t xml:space="preserve">Date this document was generated: </w:t>
    </w:r>
    <w:r>
      <w:fldChar w:fldCharType="begin"/>
    </w:r>
    <w:r>
      <w:instrText xml:space="preserve"> CREATEDATE  \@ "d MMMM yyyy"  \* MERGEFORMAT </w:instrText>
    </w:r>
    <w:r>
      <w:fldChar w:fldCharType="separate"/>
    </w:r>
    <w:r w:rsidR="007B7214">
      <w:rPr>
        <w:noProof/>
      </w:rPr>
      <w:t>2 March 2025</w:t>
    </w:r>
    <w:r>
      <w:fldChar w:fldCharType="end"/>
    </w:r>
  </w:p>
  <w:p w:rsidR="001056AB" w:rsidP="001056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FEE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1A03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B620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6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56AB"/>
    <w:pPr>
      <w:spacing w:before="360" w:after="60"/>
      <w:outlineLvl w:val="0"/>
    </w:pPr>
    <w:rPr>
      <w:sz w:val="32"/>
    </w:rPr>
  </w:style>
  <w:style w:type="paragraph" w:styleId="Heading2">
    <w:name w:val="heading 2"/>
    <w:basedOn w:val="HeadingBase"/>
    <w:next w:val="BodyText"/>
    <w:link w:val="Heading2Char"/>
    <w:qFormat/>
    <w:rsid w:val="001056AB"/>
    <w:pPr>
      <w:keepLines/>
      <w:spacing w:before="240" w:after="120"/>
      <w:outlineLvl w:val="1"/>
    </w:pPr>
    <w:rPr>
      <w:sz w:val="28"/>
      <w:szCs w:val="40"/>
    </w:rPr>
  </w:style>
  <w:style w:type="paragraph" w:styleId="Heading3">
    <w:name w:val="heading 3"/>
    <w:basedOn w:val="HeadingBase"/>
    <w:next w:val="BodyText"/>
    <w:link w:val="Heading3Char"/>
    <w:qFormat/>
    <w:rsid w:val="001056AB"/>
    <w:pPr>
      <w:spacing w:before="180" w:after="120"/>
      <w:outlineLvl w:val="2"/>
    </w:pPr>
    <w:rPr>
      <w:spacing w:val="-10"/>
      <w:kern w:val="32"/>
    </w:rPr>
  </w:style>
  <w:style w:type="paragraph" w:styleId="Heading4">
    <w:name w:val="heading 4"/>
    <w:basedOn w:val="HeadingBase"/>
    <w:next w:val="BodyText"/>
    <w:link w:val="Heading4Char"/>
    <w:qFormat/>
    <w:rsid w:val="001056AB"/>
    <w:pPr>
      <w:spacing w:before="160" w:after="120"/>
      <w:outlineLvl w:val="3"/>
    </w:pPr>
    <w:rPr>
      <w:sz w:val="22"/>
    </w:rPr>
  </w:style>
  <w:style w:type="paragraph" w:styleId="Heading5">
    <w:name w:val="heading 5"/>
    <w:basedOn w:val="HeadingBase"/>
    <w:next w:val="Normal"/>
    <w:link w:val="Heading5Char"/>
    <w:qFormat/>
    <w:rsid w:val="001056AB"/>
    <w:pPr>
      <w:spacing w:before="80"/>
      <w:outlineLvl w:val="4"/>
    </w:pPr>
    <w:rPr>
      <w:color w:val="918585"/>
      <w:sz w:val="20"/>
    </w:rPr>
  </w:style>
  <w:style w:type="paragraph" w:styleId="Heading6">
    <w:name w:val="heading 6"/>
    <w:basedOn w:val="HeadingBase"/>
    <w:next w:val="Normal"/>
    <w:link w:val="Heading6Char"/>
    <w:qFormat/>
    <w:rsid w:val="001056AB"/>
    <w:pPr>
      <w:spacing w:before="60"/>
      <w:outlineLvl w:val="5"/>
    </w:pPr>
    <w:rPr>
      <w:color w:val="918585"/>
      <w:sz w:val="20"/>
    </w:rPr>
  </w:style>
  <w:style w:type="paragraph" w:styleId="Heading7">
    <w:name w:val="heading 7"/>
    <w:basedOn w:val="Normal"/>
    <w:next w:val="Normal"/>
    <w:link w:val="Heading7Char"/>
    <w:qFormat/>
    <w:rsid w:val="001056AB"/>
    <w:pPr>
      <w:ind w:left="720"/>
      <w:outlineLvl w:val="6"/>
    </w:pPr>
    <w:rPr>
      <w:i/>
    </w:rPr>
  </w:style>
  <w:style w:type="paragraph" w:styleId="Heading8">
    <w:name w:val="heading 8"/>
    <w:basedOn w:val="Normal"/>
    <w:next w:val="Normal"/>
    <w:link w:val="Heading8Char"/>
    <w:qFormat/>
    <w:rsid w:val="001056AB"/>
    <w:pPr>
      <w:ind w:left="720"/>
      <w:outlineLvl w:val="7"/>
    </w:pPr>
    <w:rPr>
      <w:i/>
    </w:rPr>
  </w:style>
  <w:style w:type="paragraph" w:styleId="Heading9">
    <w:name w:val="heading 9"/>
    <w:basedOn w:val="Normal"/>
    <w:next w:val="Normal"/>
    <w:link w:val="Heading9Char"/>
    <w:qFormat/>
    <w:rsid w:val="001056AB"/>
    <w:pPr>
      <w:ind w:left="720"/>
      <w:outlineLvl w:val="8"/>
    </w:pPr>
    <w:rPr>
      <w:i/>
    </w:rPr>
  </w:style>
  <w:style w:type="character" w:default="1" w:styleId="DefaultParagraphFont">
    <w:name w:val="Default Paragraph Font"/>
    <w:uiPriority w:val="1"/>
    <w:unhideWhenUsed/>
    <w:rsid w:val="001056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6AB"/>
  </w:style>
  <w:style w:type="character" w:customStyle="1" w:styleId="Heading1Char">
    <w:name w:val="Heading 1 Char"/>
    <w:basedOn w:val="DefaultParagraphFont"/>
    <w:link w:val="Heading1"/>
    <w:rsid w:val="001056AB"/>
    <w:rPr>
      <w:rFonts w:ascii="Times New Roman" w:eastAsia="Times New Roman" w:hAnsi="Times New Roman" w:cs="Times New Roman"/>
      <w:b/>
      <w:sz w:val="32"/>
      <w:szCs w:val="20"/>
      <w:lang w:eastAsia="en-US"/>
    </w:rPr>
  </w:style>
  <w:style w:type="paragraph" w:styleId="BodyText">
    <w:name w:val="Body Text"/>
    <w:basedOn w:val="Normal"/>
    <w:link w:val="BodyTextChar"/>
    <w:rsid w:val="001056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56AB"/>
    <w:rPr>
      <w:rFonts w:ascii="Times New Roman" w:eastAsia="Times New Roman" w:hAnsi="Times New Roman" w:cs="Times New Roman"/>
      <w:sz w:val="24"/>
      <w:lang w:eastAsia="en-US"/>
    </w:rPr>
  </w:style>
  <w:style w:type="paragraph" w:styleId="List">
    <w:name w:val="List"/>
    <w:basedOn w:val="BodyText"/>
    <w:next w:val="BodyText"/>
    <w:rsid w:val="001056AB"/>
    <w:pPr>
      <w:tabs>
        <w:tab w:val="left" w:pos="340"/>
      </w:tabs>
      <w:spacing w:before="60" w:after="60"/>
      <w:ind w:left="340" w:hanging="340"/>
    </w:pPr>
  </w:style>
  <w:style w:type="paragraph" w:styleId="ListBullet">
    <w:name w:val="List Bullet"/>
    <w:basedOn w:val="List"/>
    <w:rsid w:val="001056AB"/>
    <w:pPr>
      <w:numPr>
        <w:numId w:val="12"/>
      </w:numPr>
      <w:tabs>
        <w:tab w:val="clear" w:pos="340"/>
      </w:tabs>
      <w:spacing w:before="40" w:after="40"/>
    </w:pPr>
  </w:style>
  <w:style w:type="character" w:customStyle="1" w:styleId="SpecialBold">
    <w:name w:val="Special Bold"/>
    <w:basedOn w:val="DefaultParagraphFont"/>
    <w:rsid w:val="001056AB"/>
    <w:rPr>
      <w:b/>
      <w:spacing w:val="0"/>
    </w:rPr>
  </w:style>
  <w:style w:type="paragraph" w:styleId="ListBullet2">
    <w:name w:val="List Bullet 2"/>
    <w:basedOn w:val="List2"/>
    <w:rsid w:val="001056AB"/>
    <w:pPr>
      <w:numPr>
        <w:numId w:val="13"/>
      </w:numPr>
      <w:tabs>
        <w:tab w:val="clear" w:pos="680"/>
      </w:tabs>
    </w:pPr>
  </w:style>
  <w:style w:type="character" w:styleId="Emphasis">
    <w:name w:val="Emphasis"/>
    <w:basedOn w:val="DefaultParagraphFont"/>
    <w:qFormat/>
    <w:rsid w:val="001056AB"/>
    <w:rPr>
      <w:i/>
    </w:rPr>
  </w:style>
  <w:style w:type="paragraph" w:customStyle="1" w:styleId="SuperHeading">
    <w:name w:val="SuperHeading"/>
    <w:basedOn w:val="Normal"/>
    <w:rsid w:val="001056AB"/>
    <w:pPr>
      <w:spacing w:before="240" w:after="120"/>
      <w:outlineLvl w:val="0"/>
    </w:pPr>
    <w:rPr>
      <w:rFonts w:ascii="Times New Roman" w:hAnsi="Times New Roman"/>
      <w:b/>
      <w:sz w:val="32"/>
    </w:rPr>
  </w:style>
  <w:style w:type="paragraph" w:customStyle="1" w:styleId="AllowPageBreak">
    <w:name w:val="AllowPageBreak"/>
    <w:rsid w:val="001056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56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6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6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6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6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6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56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56AB"/>
    <w:rPr>
      <w:rFonts w:ascii="Courier New" w:eastAsia="Times New Roman" w:hAnsi="Courier New" w:cs="Times New Roman"/>
      <w:i/>
      <w:szCs w:val="20"/>
      <w:lang w:eastAsia="en-US"/>
    </w:rPr>
  </w:style>
  <w:style w:type="paragraph" w:customStyle="1" w:styleId="HeadingBase">
    <w:name w:val="Heading Base"/>
    <w:rsid w:val="001056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6AB"/>
    <w:pPr>
      <w:tabs>
        <w:tab w:val="right" w:leader="dot" w:pos="9072"/>
      </w:tabs>
      <w:ind w:left="567"/>
    </w:pPr>
    <w:rPr>
      <w:szCs w:val="22"/>
    </w:rPr>
  </w:style>
  <w:style w:type="paragraph" w:customStyle="1" w:styleId="TOCBase">
    <w:name w:val="TOC Base"/>
    <w:rsid w:val="001056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6AB"/>
    <w:pPr>
      <w:tabs>
        <w:tab w:val="right" w:leader="dot" w:pos="9072"/>
      </w:tabs>
      <w:spacing w:before="40" w:after="40"/>
      <w:ind w:left="284"/>
    </w:pPr>
    <w:rPr>
      <w:rFonts w:ascii="Times New Roman" w:hAnsi="Times New Roman"/>
    </w:rPr>
  </w:style>
  <w:style w:type="paragraph" w:styleId="TOC1">
    <w:name w:val="toc 1"/>
    <w:basedOn w:val="TOCBase"/>
    <w:next w:val="Normal"/>
    <w:rsid w:val="001056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56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6AB"/>
    <w:rPr>
      <w:rFonts w:ascii="Times New Roman" w:eastAsia="Times New Roman" w:hAnsi="Times New Roman" w:cs="Times New Roman"/>
      <w:sz w:val="16"/>
      <w:lang w:eastAsia="en-US"/>
    </w:rPr>
  </w:style>
  <w:style w:type="paragraph" w:styleId="Title">
    <w:name w:val="Title"/>
    <w:basedOn w:val="HeadingBase"/>
    <w:link w:val="TitleChar"/>
    <w:qFormat/>
    <w:rsid w:val="001056AB"/>
    <w:pPr>
      <w:spacing w:before="5040"/>
      <w:jc w:val="center"/>
    </w:pPr>
    <w:rPr>
      <w:sz w:val="48"/>
      <w:szCs w:val="72"/>
      <w:lang w:val="en-US"/>
    </w:rPr>
  </w:style>
  <w:style w:type="character" w:customStyle="1" w:styleId="TitleChar">
    <w:name w:val="Title Char"/>
    <w:basedOn w:val="DefaultParagraphFont"/>
    <w:link w:val="Title"/>
    <w:rsid w:val="001056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6AB"/>
    <w:pPr>
      <w:tabs>
        <w:tab w:val="left" w:pos="3600"/>
        <w:tab w:val="left" w:pos="3958"/>
      </w:tabs>
    </w:pPr>
  </w:style>
  <w:style w:type="paragraph" w:customStyle="1" w:styleId="Note">
    <w:name w:val="Note"/>
    <w:basedOn w:val="BodyText"/>
    <w:rsid w:val="001056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6AB"/>
    <w:pPr>
      <w:framePr w:wrap="auto" w:hAnchor="text" w:y="6049"/>
    </w:pPr>
    <w:rPr>
      <w:color w:val="000000"/>
      <w:sz w:val="40"/>
    </w:rPr>
  </w:style>
  <w:style w:type="paragraph" w:customStyle="1" w:styleId="TOCTitle">
    <w:name w:val="TOCTitle"/>
    <w:basedOn w:val="Heading1"/>
    <w:rsid w:val="001056AB"/>
    <w:pPr>
      <w:spacing w:after="240"/>
      <w:jc w:val="center"/>
      <w:outlineLvl w:val="9"/>
    </w:pPr>
    <w:rPr>
      <w:caps/>
    </w:rPr>
  </w:style>
  <w:style w:type="paragraph" w:customStyle="1" w:styleId="Version">
    <w:name w:val="Version"/>
    <w:rsid w:val="001056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56AB"/>
    <w:pPr>
      <w:keepNext w:val="0"/>
      <w:tabs>
        <w:tab w:val="right" w:pos="4176"/>
      </w:tabs>
      <w:ind w:left="198" w:hanging="198"/>
    </w:pPr>
    <w:rPr>
      <w:rFonts w:ascii="Garamond" w:hAnsi="Garamond"/>
    </w:rPr>
  </w:style>
  <w:style w:type="paragraph" w:styleId="IndexHeading">
    <w:name w:val="index heading"/>
    <w:basedOn w:val="Normal"/>
    <w:next w:val="Index1"/>
    <w:semiHidden/>
    <w:rsid w:val="001056AB"/>
    <w:pPr>
      <w:spacing w:before="120" w:after="120"/>
    </w:pPr>
    <w:rPr>
      <w:rFonts w:ascii="Arial" w:hAnsi="Arial"/>
      <w:b/>
      <w:color w:val="918585"/>
      <w:sz w:val="24"/>
    </w:rPr>
  </w:style>
  <w:style w:type="paragraph" w:styleId="Header">
    <w:name w:val="header"/>
    <w:basedOn w:val="Normal"/>
    <w:link w:val="HeaderChar"/>
    <w:rsid w:val="001056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6AB"/>
    <w:rPr>
      <w:rFonts w:ascii="Times New Roman" w:eastAsia="Times New Roman" w:hAnsi="Times New Roman" w:cs="Times New Roman"/>
      <w:sz w:val="16"/>
      <w:szCs w:val="20"/>
      <w:lang w:val="en-GB" w:eastAsia="en-US"/>
    </w:rPr>
  </w:style>
  <w:style w:type="paragraph" w:customStyle="1" w:styleId="Chapter">
    <w:name w:val="Chapter"/>
    <w:basedOn w:val="Normal"/>
    <w:rsid w:val="001056AB"/>
    <w:pPr>
      <w:spacing w:before="240"/>
    </w:pPr>
    <w:rPr>
      <w:rFonts w:ascii="Times New Roman" w:hAnsi="Times New Roman"/>
      <w:smallCaps/>
      <w:spacing w:val="80"/>
      <w:sz w:val="28"/>
    </w:rPr>
  </w:style>
  <w:style w:type="paragraph" w:customStyle="1" w:styleId="InChapter">
    <w:name w:val="InChapter"/>
    <w:basedOn w:val="Heading3"/>
    <w:rsid w:val="001056AB"/>
    <w:pPr>
      <w:spacing w:after="240"/>
      <w:outlineLvl w:val="9"/>
    </w:pPr>
    <w:rPr>
      <w:noProof/>
    </w:rPr>
  </w:style>
  <w:style w:type="paragraph" w:styleId="Index2">
    <w:name w:val="index 2"/>
    <w:basedOn w:val="Normal"/>
    <w:next w:val="Normal"/>
    <w:semiHidden/>
    <w:rsid w:val="001056AB"/>
    <w:pPr>
      <w:tabs>
        <w:tab w:val="right" w:pos="4176"/>
      </w:tabs>
      <w:ind w:left="568" w:hanging="284"/>
    </w:pPr>
    <w:rPr>
      <w:rFonts w:ascii="Garamond" w:hAnsi="Garamond"/>
    </w:rPr>
  </w:style>
  <w:style w:type="paragraph" w:customStyle="1" w:styleId="Byline">
    <w:name w:val="Byline"/>
    <w:rsid w:val="001056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6AB"/>
    <w:pPr>
      <w:tabs>
        <w:tab w:val="clear" w:pos="3600"/>
        <w:tab w:val="clear" w:pos="3958"/>
      </w:tabs>
      <w:jc w:val="right"/>
    </w:pPr>
  </w:style>
  <w:style w:type="paragraph" w:styleId="Caption">
    <w:name w:val="caption"/>
    <w:basedOn w:val="BodyText"/>
    <w:next w:val="Normal"/>
    <w:qFormat/>
    <w:rsid w:val="001056AB"/>
    <w:pPr>
      <w:framePr w:w="2268" w:hSpace="181" w:vSpace="181" w:wrap="around" w:vAnchor="text" w:hAnchor="page" w:x="1135" w:y="285" w:anchorLock="1"/>
    </w:pPr>
    <w:rPr>
      <w:i/>
    </w:rPr>
  </w:style>
  <w:style w:type="paragraph" w:customStyle="1" w:styleId="MiniTOCTitle">
    <w:name w:val="MiniTOCTitle"/>
    <w:basedOn w:val="Heading4"/>
    <w:rsid w:val="001056AB"/>
    <w:pPr>
      <w:spacing w:before="240"/>
      <w:outlineLvl w:val="9"/>
    </w:pPr>
    <w:rPr>
      <w:noProof/>
      <w:sz w:val="24"/>
    </w:rPr>
  </w:style>
  <w:style w:type="paragraph" w:customStyle="1" w:styleId="MiniTOCItem">
    <w:name w:val="MiniTOCItem"/>
    <w:basedOn w:val="ListBullet"/>
    <w:rsid w:val="001056AB"/>
    <w:pPr>
      <w:numPr>
        <w:numId w:val="0"/>
      </w:numPr>
      <w:tabs>
        <w:tab w:val="right" w:leader="dot" w:pos="6521"/>
      </w:tabs>
      <w:spacing w:before="0" w:after="0"/>
    </w:pPr>
  </w:style>
  <w:style w:type="paragraph" w:customStyle="1" w:styleId="TOFTitle">
    <w:name w:val="TOFTitle"/>
    <w:basedOn w:val="TOCTitle"/>
    <w:rsid w:val="001056AB"/>
  </w:style>
  <w:style w:type="paragraph" w:styleId="TableofFigures">
    <w:name w:val="table of figures"/>
    <w:basedOn w:val="Normal"/>
    <w:next w:val="Normal"/>
    <w:semiHidden/>
    <w:rsid w:val="001056AB"/>
    <w:pPr>
      <w:tabs>
        <w:tab w:val="right" w:leader="dot" w:pos="9072"/>
      </w:tabs>
      <w:ind w:left="970" w:hanging="403"/>
    </w:pPr>
    <w:rPr>
      <w:rFonts w:ascii="Times New Roman" w:hAnsi="Times New Roman"/>
      <w:b/>
    </w:rPr>
  </w:style>
  <w:style w:type="paragraph" w:styleId="ListNumber">
    <w:name w:val="List Number"/>
    <w:basedOn w:val="List"/>
    <w:rsid w:val="001056AB"/>
    <w:pPr>
      <w:numPr>
        <w:numId w:val="15"/>
      </w:numPr>
      <w:tabs>
        <w:tab w:val="clear" w:pos="340"/>
      </w:tabs>
    </w:pPr>
  </w:style>
  <w:style w:type="character" w:customStyle="1" w:styleId="WingdingSymbols">
    <w:name w:val="Wingding Symbols"/>
    <w:rsid w:val="001056AB"/>
    <w:rPr>
      <w:rFonts w:ascii="Wingdings" w:hAnsi="Wingdings"/>
    </w:rPr>
  </w:style>
  <w:style w:type="paragraph" w:customStyle="1" w:styleId="TableHeading">
    <w:name w:val="Table Heading"/>
    <w:basedOn w:val="HeadingBase"/>
    <w:rsid w:val="001056AB"/>
    <w:pPr>
      <w:keepLines/>
      <w:pBdr>
        <w:bottom w:val="single" w:sz="6" w:space="1" w:color="918585"/>
      </w:pBdr>
      <w:spacing w:before="240"/>
    </w:pPr>
  </w:style>
  <w:style w:type="character" w:customStyle="1" w:styleId="HotSpot">
    <w:name w:val="HotSpot"/>
    <w:rsid w:val="001056AB"/>
    <w:rPr>
      <w:color w:val="0033CC"/>
      <w:u w:val="none"/>
    </w:rPr>
  </w:style>
  <w:style w:type="paragraph" w:customStyle="1" w:styleId="BodyTextRight">
    <w:name w:val="Body Text Right"/>
    <w:basedOn w:val="BodyText"/>
    <w:rsid w:val="001056AB"/>
    <w:pPr>
      <w:spacing w:before="0" w:after="0"/>
      <w:jc w:val="right"/>
    </w:pPr>
  </w:style>
  <w:style w:type="paragraph" w:styleId="Index3">
    <w:name w:val="index 3"/>
    <w:basedOn w:val="ListNumber2"/>
    <w:next w:val="Normal"/>
    <w:semiHidden/>
    <w:rsid w:val="001056AB"/>
    <w:pPr>
      <w:numPr>
        <w:numId w:val="0"/>
      </w:numPr>
      <w:tabs>
        <w:tab w:val="right" w:leader="dot" w:pos="4176"/>
      </w:tabs>
    </w:pPr>
  </w:style>
  <w:style w:type="paragraph" w:styleId="ListNumber2">
    <w:name w:val="List Number 2"/>
    <w:basedOn w:val="List2"/>
    <w:rsid w:val="001056AB"/>
    <w:pPr>
      <w:numPr>
        <w:numId w:val="10"/>
      </w:numPr>
      <w:tabs>
        <w:tab w:val="clear" w:pos="1060"/>
      </w:tabs>
    </w:pPr>
  </w:style>
  <w:style w:type="paragraph" w:customStyle="1" w:styleId="MarginNote">
    <w:name w:val="Margin Note"/>
    <w:basedOn w:val="BodyText"/>
    <w:rsid w:val="001056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6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6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56AB"/>
    <w:rPr>
      <w:sz w:val="32"/>
    </w:rPr>
  </w:style>
  <w:style w:type="paragraph" w:customStyle="1" w:styleId="HeadingProcedure">
    <w:name w:val="Heading Procedure"/>
    <w:basedOn w:val="HeadingBase"/>
    <w:next w:val="Normal"/>
    <w:rsid w:val="001056AB"/>
    <w:pPr>
      <w:tabs>
        <w:tab w:val="left" w:pos="0"/>
      </w:tabs>
      <w:spacing w:before="120" w:after="60"/>
    </w:pPr>
    <w:rPr>
      <w:i/>
      <w:color w:val="918585"/>
      <w:sz w:val="22"/>
    </w:rPr>
  </w:style>
  <w:style w:type="paragraph" w:customStyle="1" w:styleId="TableBodyText">
    <w:name w:val="Table Body Text"/>
    <w:basedOn w:val="BodyText"/>
    <w:rsid w:val="001056AB"/>
    <w:pPr>
      <w:spacing w:before="60" w:after="60"/>
    </w:pPr>
  </w:style>
  <w:style w:type="paragraph" w:styleId="ListContinue">
    <w:name w:val="List Continue"/>
    <w:basedOn w:val="List"/>
    <w:rsid w:val="001056AB"/>
    <w:pPr>
      <w:ind w:firstLine="0"/>
    </w:pPr>
  </w:style>
  <w:style w:type="paragraph" w:customStyle="1" w:styleId="ListNote">
    <w:name w:val="List Note"/>
    <w:basedOn w:val="List"/>
    <w:rsid w:val="001056AB"/>
    <w:pPr>
      <w:pBdr>
        <w:top w:val="single" w:sz="6" w:space="2" w:color="918585"/>
        <w:bottom w:val="single" w:sz="6" w:space="2" w:color="918585"/>
      </w:pBdr>
      <w:tabs>
        <w:tab w:val="left" w:pos="1021"/>
      </w:tabs>
      <w:ind w:firstLine="0"/>
    </w:pPr>
  </w:style>
  <w:style w:type="paragraph" w:customStyle="1" w:styleId="Warning">
    <w:name w:val="Warning"/>
    <w:basedOn w:val="BodyText"/>
    <w:rsid w:val="001056AB"/>
    <w:pPr>
      <w:shd w:val="clear" w:color="auto" w:fill="D9D9D9"/>
      <w:tabs>
        <w:tab w:val="left" w:pos="992"/>
      </w:tabs>
      <w:ind w:left="119" w:right="119"/>
    </w:pPr>
    <w:rPr>
      <w:sz w:val="20"/>
    </w:rPr>
  </w:style>
  <w:style w:type="paragraph" w:customStyle="1" w:styleId="MarginIcons">
    <w:name w:val="Margin Icons"/>
    <w:basedOn w:val="BodyText"/>
    <w:rsid w:val="001056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6AB"/>
    <w:rPr>
      <w:rFonts w:ascii="Courier New" w:hAnsi="Courier New"/>
    </w:rPr>
  </w:style>
  <w:style w:type="paragraph" w:customStyle="1" w:styleId="NoteBullet">
    <w:name w:val="Note Bullet"/>
    <w:basedOn w:val="Note"/>
    <w:rsid w:val="001056AB"/>
    <w:pPr>
      <w:tabs>
        <w:tab w:val="clear" w:pos="680"/>
      </w:tabs>
      <w:spacing w:before="60" w:after="60"/>
    </w:pPr>
  </w:style>
  <w:style w:type="paragraph" w:customStyle="1" w:styleId="SubHeading2">
    <w:name w:val="SubHeading2"/>
    <w:basedOn w:val="HeadingBase"/>
    <w:rsid w:val="001056AB"/>
    <w:pPr>
      <w:spacing w:before="240" w:after="60"/>
    </w:pPr>
    <w:rPr>
      <w:sz w:val="20"/>
    </w:rPr>
  </w:style>
  <w:style w:type="paragraph" w:customStyle="1" w:styleId="SubHeading1">
    <w:name w:val="SubHeading1"/>
    <w:basedOn w:val="HeadingBase"/>
    <w:rsid w:val="001056AB"/>
    <w:pPr>
      <w:spacing w:before="240" w:after="60"/>
    </w:pPr>
    <w:rPr>
      <w:color w:val="918585"/>
      <w:sz w:val="22"/>
    </w:rPr>
  </w:style>
  <w:style w:type="paragraph" w:customStyle="1" w:styleId="SideHeading">
    <w:name w:val="Side Heading"/>
    <w:basedOn w:val="HeadingBase"/>
    <w:rsid w:val="001056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6AB"/>
    <w:pPr>
      <w:tabs>
        <w:tab w:val="num" w:pos="360"/>
      </w:tabs>
    </w:pPr>
  </w:style>
  <w:style w:type="paragraph" w:styleId="PlainText">
    <w:name w:val="Plain Text"/>
    <w:basedOn w:val="Normal"/>
    <w:link w:val="PlainTextChar"/>
    <w:rsid w:val="001056AB"/>
    <w:rPr>
      <w:sz w:val="20"/>
    </w:rPr>
  </w:style>
  <w:style w:type="character" w:customStyle="1" w:styleId="PlainTextChar">
    <w:name w:val="Plain Text Char"/>
    <w:basedOn w:val="DefaultParagraphFont"/>
    <w:link w:val="PlainText"/>
    <w:rsid w:val="001056AB"/>
    <w:rPr>
      <w:rFonts w:ascii="Courier New" w:eastAsia="Times New Roman" w:hAnsi="Courier New" w:cs="Times New Roman"/>
      <w:sz w:val="20"/>
      <w:szCs w:val="20"/>
      <w:lang w:eastAsia="en-US"/>
    </w:rPr>
  </w:style>
  <w:style w:type="character" w:customStyle="1" w:styleId="MenuOption">
    <w:name w:val="Menu Option"/>
    <w:basedOn w:val="DefaultParagraphFont"/>
    <w:rsid w:val="001056AB"/>
    <w:rPr>
      <w:b/>
      <w:smallCaps/>
    </w:rPr>
  </w:style>
  <w:style w:type="paragraph" w:customStyle="1" w:styleId="TableListNumber">
    <w:name w:val="Table List Number"/>
    <w:basedOn w:val="ListNumber"/>
    <w:rsid w:val="001056AB"/>
    <w:pPr>
      <w:numPr>
        <w:numId w:val="0"/>
      </w:numPr>
    </w:pPr>
  </w:style>
  <w:style w:type="paragraph" w:styleId="TOC4">
    <w:name w:val="toc 4"/>
    <w:basedOn w:val="TOCBase"/>
    <w:next w:val="Normal"/>
    <w:semiHidden/>
    <w:rsid w:val="001056AB"/>
    <w:pPr>
      <w:tabs>
        <w:tab w:val="right" w:leader="dot" w:pos="9071"/>
      </w:tabs>
      <w:ind w:left="1701"/>
    </w:pPr>
  </w:style>
  <w:style w:type="paragraph" w:customStyle="1" w:styleId="ListAlpha">
    <w:name w:val="List Alpha"/>
    <w:basedOn w:val="List"/>
    <w:rsid w:val="001056AB"/>
    <w:pPr>
      <w:numPr>
        <w:numId w:val="9"/>
      </w:numPr>
    </w:pPr>
  </w:style>
  <w:style w:type="paragraph" w:customStyle="1" w:styleId="ListAlpha2">
    <w:name w:val="List Alpha 2"/>
    <w:basedOn w:val="List2"/>
    <w:rsid w:val="001056AB"/>
    <w:pPr>
      <w:numPr>
        <w:numId w:val="8"/>
      </w:numPr>
    </w:pPr>
  </w:style>
  <w:style w:type="paragraph" w:styleId="List2">
    <w:name w:val="List 2"/>
    <w:basedOn w:val="BodyText"/>
    <w:rsid w:val="001056AB"/>
    <w:pPr>
      <w:tabs>
        <w:tab w:val="left" w:pos="680"/>
      </w:tabs>
      <w:spacing w:before="60" w:after="60"/>
      <w:ind w:left="680" w:hanging="340"/>
    </w:pPr>
  </w:style>
  <w:style w:type="paragraph" w:styleId="List3">
    <w:name w:val="List 3"/>
    <w:basedOn w:val="BodyText"/>
    <w:rsid w:val="001056AB"/>
    <w:pPr>
      <w:tabs>
        <w:tab w:val="left" w:pos="1021"/>
      </w:tabs>
      <w:spacing w:before="60" w:after="60"/>
      <w:ind w:left="1020" w:hanging="340"/>
    </w:pPr>
  </w:style>
  <w:style w:type="paragraph" w:styleId="List4">
    <w:name w:val="List 4"/>
    <w:basedOn w:val="BodyText"/>
    <w:rsid w:val="001056AB"/>
    <w:pPr>
      <w:tabs>
        <w:tab w:val="left" w:pos="1361"/>
      </w:tabs>
      <w:spacing w:before="60" w:after="60"/>
      <w:ind w:left="1361" w:hanging="340"/>
    </w:pPr>
  </w:style>
  <w:style w:type="paragraph" w:styleId="List5">
    <w:name w:val="List 5"/>
    <w:basedOn w:val="BodyText"/>
    <w:rsid w:val="001056AB"/>
    <w:pPr>
      <w:tabs>
        <w:tab w:val="left" w:pos="1701"/>
      </w:tabs>
      <w:spacing w:before="60" w:after="60"/>
      <w:ind w:left="1701" w:hanging="340"/>
    </w:pPr>
  </w:style>
  <w:style w:type="paragraph" w:styleId="ListBullet3">
    <w:name w:val="List Bullet 3"/>
    <w:basedOn w:val="List3"/>
    <w:rsid w:val="001056AB"/>
    <w:pPr>
      <w:numPr>
        <w:numId w:val="14"/>
      </w:numPr>
      <w:tabs>
        <w:tab w:val="clear" w:pos="1021"/>
      </w:tabs>
      <w:ind w:left="1037" w:hanging="357"/>
    </w:pPr>
  </w:style>
  <w:style w:type="paragraph" w:styleId="ListBullet4">
    <w:name w:val="List Bullet 4"/>
    <w:basedOn w:val="List4"/>
    <w:rsid w:val="001056AB"/>
    <w:pPr>
      <w:numPr>
        <w:numId w:val="3"/>
      </w:numPr>
      <w:tabs>
        <w:tab w:val="clear" w:pos="1361"/>
      </w:tabs>
    </w:pPr>
  </w:style>
  <w:style w:type="paragraph" w:styleId="ListBullet5">
    <w:name w:val="List Bullet 5"/>
    <w:basedOn w:val="List5"/>
    <w:rsid w:val="001056AB"/>
    <w:pPr>
      <w:numPr>
        <w:numId w:val="4"/>
      </w:numPr>
    </w:pPr>
  </w:style>
  <w:style w:type="paragraph" w:styleId="ListContinue2">
    <w:name w:val="List Continue 2"/>
    <w:basedOn w:val="List2"/>
    <w:rsid w:val="001056AB"/>
    <w:pPr>
      <w:ind w:firstLine="0"/>
    </w:pPr>
  </w:style>
  <w:style w:type="paragraph" w:styleId="ListContinue3">
    <w:name w:val="List Continue 3"/>
    <w:basedOn w:val="List3"/>
    <w:rsid w:val="001056AB"/>
    <w:pPr>
      <w:ind w:left="1021" w:firstLine="0"/>
    </w:pPr>
  </w:style>
  <w:style w:type="paragraph" w:styleId="ListContinue4">
    <w:name w:val="List Continue 4"/>
    <w:basedOn w:val="List4"/>
    <w:rsid w:val="001056AB"/>
    <w:pPr>
      <w:ind w:firstLine="0"/>
    </w:pPr>
  </w:style>
  <w:style w:type="paragraph" w:styleId="ListContinue5">
    <w:name w:val="List Continue 5"/>
    <w:basedOn w:val="List5"/>
    <w:rsid w:val="001056AB"/>
    <w:pPr>
      <w:ind w:firstLine="0"/>
    </w:pPr>
  </w:style>
  <w:style w:type="paragraph" w:styleId="ListNumber3">
    <w:name w:val="List Number 3"/>
    <w:basedOn w:val="List3"/>
    <w:rsid w:val="001056AB"/>
    <w:pPr>
      <w:numPr>
        <w:numId w:val="5"/>
      </w:numPr>
    </w:pPr>
  </w:style>
  <w:style w:type="paragraph" w:styleId="ListNumber4">
    <w:name w:val="List Number 4"/>
    <w:basedOn w:val="List4"/>
    <w:rsid w:val="001056AB"/>
    <w:pPr>
      <w:numPr>
        <w:numId w:val="6"/>
      </w:numPr>
    </w:pPr>
  </w:style>
  <w:style w:type="paragraph" w:styleId="ListNumber5">
    <w:name w:val="List Number 5"/>
    <w:basedOn w:val="List5"/>
    <w:rsid w:val="001056AB"/>
    <w:pPr>
      <w:numPr>
        <w:numId w:val="7"/>
      </w:numPr>
    </w:pPr>
  </w:style>
  <w:style w:type="paragraph" w:styleId="BlockText">
    <w:name w:val="Block Text"/>
    <w:basedOn w:val="Normal"/>
    <w:rsid w:val="001056AB"/>
    <w:pPr>
      <w:spacing w:after="120"/>
      <w:ind w:left="1440" w:right="1440"/>
    </w:pPr>
  </w:style>
  <w:style w:type="character" w:customStyle="1" w:styleId="Subscript">
    <w:name w:val="Subscript"/>
    <w:basedOn w:val="DefaultParagraphFont"/>
    <w:rsid w:val="001056AB"/>
    <w:rPr>
      <w:sz w:val="16"/>
      <w:vertAlign w:val="subscript"/>
    </w:rPr>
  </w:style>
  <w:style w:type="character" w:customStyle="1" w:styleId="Superscript">
    <w:name w:val="Superscript"/>
    <w:basedOn w:val="DefaultParagraphFont"/>
    <w:rsid w:val="001056AB"/>
    <w:rPr>
      <w:sz w:val="16"/>
      <w:vertAlign w:val="superscript"/>
    </w:rPr>
  </w:style>
  <w:style w:type="character" w:customStyle="1" w:styleId="Symbols">
    <w:name w:val="Symbols"/>
    <w:basedOn w:val="DefaultParagraphFont"/>
    <w:rsid w:val="001056AB"/>
    <w:rPr>
      <w:rFonts w:ascii="Symbol" w:hAnsi="Symbol"/>
    </w:rPr>
  </w:style>
  <w:style w:type="character" w:customStyle="1" w:styleId="MenuOptions">
    <w:name w:val="Menu Options"/>
    <w:basedOn w:val="DefaultParagraphFont"/>
    <w:rsid w:val="001056AB"/>
    <w:rPr>
      <w:rFonts w:ascii="Arial Narrow" w:hAnsi="Arial Narrow"/>
      <w:smallCaps/>
    </w:rPr>
  </w:style>
  <w:style w:type="character" w:customStyle="1" w:styleId="Buttons">
    <w:name w:val="Buttons"/>
    <w:basedOn w:val="DefaultParagraphFont"/>
    <w:rsid w:val="001056AB"/>
    <w:rPr>
      <w:b/>
    </w:rPr>
  </w:style>
  <w:style w:type="character" w:customStyle="1" w:styleId="Underlined">
    <w:name w:val="Underlined"/>
    <w:basedOn w:val="DefaultParagraphFont"/>
    <w:rsid w:val="001056AB"/>
    <w:rPr>
      <w:u w:val="single"/>
    </w:rPr>
  </w:style>
  <w:style w:type="paragraph" w:customStyle="1" w:styleId="TableBodyTextRight">
    <w:name w:val="Table Body Text Right"/>
    <w:basedOn w:val="TableBodyText"/>
    <w:rsid w:val="001056AB"/>
    <w:pPr>
      <w:widowControl w:val="0"/>
      <w:autoSpaceDE w:val="0"/>
      <w:autoSpaceDN w:val="0"/>
      <w:adjustRightInd w:val="0"/>
      <w:jc w:val="right"/>
    </w:pPr>
    <w:rPr>
      <w:rFonts w:cs="Arial"/>
      <w:szCs w:val="18"/>
    </w:rPr>
  </w:style>
  <w:style w:type="paragraph" w:customStyle="1" w:styleId="CopyrightText">
    <w:name w:val="Copyright Text"/>
    <w:basedOn w:val="BodyText"/>
    <w:rsid w:val="001056AB"/>
    <w:rPr>
      <w:sz w:val="18"/>
    </w:rPr>
  </w:style>
  <w:style w:type="paragraph" w:customStyle="1" w:styleId="BodySmallRight">
    <w:name w:val="Body Small Right"/>
    <w:basedOn w:val="BodyTextRight"/>
    <w:rsid w:val="001056AB"/>
    <w:rPr>
      <w:sz w:val="18"/>
      <w:szCs w:val="18"/>
    </w:rPr>
  </w:style>
  <w:style w:type="paragraph" w:customStyle="1" w:styleId="MarginEdition">
    <w:name w:val="Margin Edition"/>
    <w:basedOn w:val="MarginNote"/>
    <w:rsid w:val="001056AB"/>
    <w:pPr>
      <w:spacing w:before="0" w:after="0"/>
    </w:pPr>
    <w:rPr>
      <w:rFonts w:ascii="Times New Roman" w:hAnsi="Times New Roman"/>
      <w:color w:val="999999"/>
    </w:rPr>
  </w:style>
  <w:style w:type="paragraph" w:customStyle="1" w:styleId="Spacer">
    <w:name w:val="Spacer"/>
    <w:basedOn w:val="Normal"/>
    <w:rsid w:val="001056AB"/>
    <w:rPr>
      <w:sz w:val="2"/>
      <w:szCs w:val="2"/>
    </w:rPr>
  </w:style>
  <w:style w:type="character" w:customStyle="1" w:styleId="Small">
    <w:name w:val="Small"/>
    <w:basedOn w:val="DefaultParagraphFont"/>
    <w:rsid w:val="001056AB"/>
    <w:rPr>
      <w:sz w:val="16"/>
    </w:rPr>
  </w:style>
  <w:style w:type="paragraph" w:customStyle="1" w:styleId="WideTable">
    <w:name w:val="Wide Table"/>
    <w:basedOn w:val="Normal"/>
    <w:rsid w:val="001056AB"/>
    <w:pPr>
      <w:ind w:left="-1418"/>
    </w:pPr>
    <w:rPr>
      <w:sz w:val="2"/>
      <w:szCs w:val="2"/>
    </w:rPr>
  </w:style>
  <w:style w:type="character" w:styleId="PageNumber">
    <w:name w:val="page number"/>
    <w:basedOn w:val="DefaultParagraphFont"/>
    <w:rsid w:val="001056AB"/>
  </w:style>
  <w:style w:type="paragraph" w:styleId="Quote">
    <w:name w:val="Quote"/>
    <w:basedOn w:val="Heading1"/>
    <w:link w:val="QuoteChar"/>
    <w:qFormat/>
    <w:rsid w:val="001056AB"/>
    <w:rPr>
      <w:b w:val="0"/>
      <w:sz w:val="72"/>
      <w:szCs w:val="72"/>
      <w:lang w:val="en-NZ"/>
    </w:rPr>
  </w:style>
  <w:style w:type="character" w:customStyle="1" w:styleId="QuoteChar">
    <w:name w:val="Quote Char"/>
    <w:basedOn w:val="DefaultParagraphFont"/>
    <w:link w:val="Quote"/>
    <w:rsid w:val="001056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6AB"/>
    <w:pPr>
      <w:pageBreakBefore/>
    </w:pPr>
  </w:style>
  <w:style w:type="paragraph" w:customStyle="1" w:styleId="Border">
    <w:name w:val="Border"/>
    <w:basedOn w:val="Normal"/>
    <w:qFormat/>
    <w:rsid w:val="001056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6AB"/>
    <w:rPr>
      <w:b/>
      <w:bCs/>
      <w:i/>
      <w:iCs/>
      <w:color w:val="auto"/>
    </w:rPr>
  </w:style>
  <w:style w:type="paragraph" w:styleId="IntenseQuote">
    <w:name w:val="Intense Quote"/>
    <w:basedOn w:val="Normal"/>
    <w:next w:val="Normal"/>
    <w:link w:val="IntenseQuoteChar"/>
    <w:uiPriority w:val="30"/>
    <w:qFormat/>
    <w:rsid w:val="001056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6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56AB"/>
    <w:rPr>
      <w:smallCaps/>
      <w:color w:val="auto"/>
      <w:u w:val="single"/>
    </w:rPr>
  </w:style>
  <w:style w:type="character" w:styleId="IntenseReference">
    <w:name w:val="Intense Reference"/>
    <w:basedOn w:val="DefaultParagraphFont"/>
    <w:uiPriority w:val="32"/>
    <w:qFormat/>
    <w:rsid w:val="001056AB"/>
    <w:rPr>
      <w:b/>
      <w:bCs/>
      <w:smallCaps/>
      <w:color w:val="auto"/>
      <w:spacing w:val="5"/>
      <w:u w:val="single"/>
    </w:rPr>
  </w:style>
  <w:style w:type="paragraph" w:customStyle="1" w:styleId="2ColumnHeading">
    <w:name w:val="2Column Heading"/>
    <w:basedOn w:val="BodyText"/>
    <w:qFormat/>
    <w:rsid w:val="001056AB"/>
    <w:pPr>
      <w:spacing w:after="60"/>
      <w:ind w:left="-2268"/>
    </w:pPr>
    <w:rPr>
      <w:b/>
    </w:rPr>
  </w:style>
  <w:style w:type="paragraph" w:customStyle="1" w:styleId="Heading1TOC">
    <w:name w:val="Heading1 TOC"/>
    <w:basedOn w:val="Normal"/>
    <w:qFormat/>
    <w:rsid w:val="001056AB"/>
    <w:pPr>
      <w:spacing w:before="240" w:after="120"/>
    </w:pPr>
    <w:rPr>
      <w:rFonts w:ascii="Times New Roman" w:hAnsi="Times New Roman"/>
      <w:b/>
      <w:sz w:val="32"/>
    </w:rPr>
  </w:style>
  <w:style w:type="paragraph" w:customStyle="1" w:styleId="Heading2TOC">
    <w:name w:val="Heading2 TOC"/>
    <w:basedOn w:val="Normal"/>
    <w:qFormat/>
    <w:rsid w:val="001056AB"/>
    <w:pPr>
      <w:spacing w:before="240" w:after="60"/>
    </w:pPr>
    <w:rPr>
      <w:rFonts w:ascii="Times New Roman" w:hAnsi="Times New Roman"/>
      <w:b/>
      <w:sz w:val="28"/>
    </w:rPr>
  </w:style>
  <w:style w:type="character" w:customStyle="1" w:styleId="Underline">
    <w:name w:val="Underline"/>
    <w:basedOn w:val="DefaultParagraphFont"/>
    <w:qFormat/>
    <w:rsid w:val="001056AB"/>
    <w:rPr>
      <w:u w:val="single"/>
    </w:rPr>
  </w:style>
  <w:style w:type="character" w:customStyle="1" w:styleId="BoldandItalics">
    <w:name w:val="Bold and Italics"/>
    <w:qFormat/>
    <w:rsid w:val="001056AB"/>
    <w:rPr>
      <w:b/>
      <w:i/>
      <w:u w:val="none"/>
    </w:rPr>
  </w:style>
  <w:style w:type="paragraph" w:styleId="BalloonText">
    <w:name w:val="Balloon Text"/>
    <w:basedOn w:val="Normal"/>
    <w:link w:val="BalloonTextChar"/>
    <w:rsid w:val="001056AB"/>
    <w:rPr>
      <w:rFonts w:ascii="Tahoma" w:hAnsi="Tahoma" w:cs="Tahoma"/>
      <w:sz w:val="16"/>
      <w:szCs w:val="16"/>
    </w:rPr>
  </w:style>
  <w:style w:type="character" w:customStyle="1" w:styleId="BalloonTextChar">
    <w:name w:val="Balloon Text Char"/>
    <w:basedOn w:val="DefaultParagraphFont"/>
    <w:link w:val="BalloonText"/>
    <w:rsid w:val="001056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56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56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56AB"/>
    <w:rPr>
      <w:b/>
      <w:color w:val="660033"/>
      <w:spacing w:val="0"/>
    </w:rPr>
  </w:style>
  <w:style w:type="paragraph" w:customStyle="1" w:styleId="Nameditemlist">
    <w:name w:val="Named item list"/>
    <w:basedOn w:val="BodyText"/>
    <w:qFormat/>
    <w:rsid w:val="001056AB"/>
    <w:pPr>
      <w:tabs>
        <w:tab w:val="left" w:pos="2835"/>
      </w:tabs>
      <w:ind w:left="2835" w:hanging="2835"/>
    </w:pPr>
  </w:style>
  <w:style w:type="paragraph" w:customStyle="1" w:styleId="BodyTextnopadding">
    <w:name w:val="Body Text no padding"/>
    <w:basedOn w:val="BodyText"/>
    <w:qFormat/>
    <w:rsid w:val="001056AB"/>
    <w:pPr>
      <w:spacing w:before="0" w:after="0"/>
    </w:pPr>
  </w:style>
  <w:style w:type="paragraph" w:customStyle="1" w:styleId="BodyTextBold">
    <w:name w:val="Body Text Bold"/>
    <w:basedOn w:val="BodyText"/>
    <w:qFormat/>
    <w:rsid w:val="001056AB"/>
    <w:rPr>
      <w:b/>
    </w:rPr>
  </w:style>
  <w:style w:type="character" w:styleId="Hyperlink">
    <w:name w:val="Hyperlink"/>
    <w:basedOn w:val="DefaultParagraphFont"/>
    <w:uiPriority w:val="99"/>
    <w:unhideWhenUsed/>
    <w:rsid w:val="007B72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5855</Characters>
  <Application>Microsoft Office Word</Application>
  <DocSecurity>0</DocSecurity>
  <Lines>177</Lines>
  <Paragraphs>109</Paragraphs>
  <ScaleCrop>false</ScaleCrop>
  <Company>Author-it Software Corporation Ltd.</Company>
  <LinksUpToDate>false</LinksUpToDate>
  <CharactersWithSpaces>6672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HLTOHC010 Use basic oral health screening tools</dc:title>
  <dc:subject>Approved</dc:subject>
  <dc:creator>HumanAbility</dc:creator>
  <cp:keywords>Release: 2</cp:keywords>
  <dc:description>Review Date: 12 April 2008</dc:description>
  <cp:lastModifiedBy>HSD_TPCMSd.prod</cp:lastModifiedBy>
  <cp:revision>3</cp:revision>
  <dcterms:created xsi:type="dcterms:W3CDTF">2025-03-01T23:01:00Z</dcterms:created>
  <dcterms:modified xsi:type="dcterms:W3CDTF">2025-03-01T23:01:00Z</dcterms:modified>
</cp:coreProperties>
</file>