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55A" w:rsidP="00C22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HLTOHC010 Use basic oral health screening tools</w:t>
      </w:r>
      <w:r>
        <w:fldChar w:fldCharType="end"/>
      </w:r>
    </w:p>
    <w:p w:rsidR="00C2255A" w:rsidP="00C2255A">
      <w:pPr>
        <w:pStyle w:val="Version"/>
        <w:sectPr w:rsidSect="00131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1F13" w:rsidP="00131F13">
      <w:pPr>
        <w:pStyle w:val="SuperHeading"/>
      </w:pPr>
      <w:r w:rsidRPr="00131F13">
        <w:t>Assessment Requirements for HLTOHC010 Use basic oral health screening tools</w:t>
      </w:r>
    </w:p>
    <w:p w:rsidR="00000000" w:rsidRPr="00131F13" w:rsidP="00131F13">
      <w:pPr>
        <w:pStyle w:val="Heading1"/>
      </w:pPr>
      <w:bookmarkStart w:id="1" w:name="O_1200205"/>
      <w:bookmarkEnd w:id="1"/>
      <w:r w:rsidRPr="00131F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131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1F13" w:rsidP="00131F13">
            <w:pPr>
              <w:pStyle w:val="BodyText"/>
            </w:pPr>
            <w:r w:rsidRPr="00131F1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1F13">
            <w:pPr>
              <w:pStyle w:val="BodyText"/>
              <w:rPr>
                <w:lang w:val="en-NZ"/>
              </w:rPr>
            </w:pPr>
            <w:r w:rsidRPr="00131F13">
              <w:rPr>
                <w:rStyle w:val="SpecialBold"/>
              </w:rPr>
              <w:t>Comments</w:t>
            </w:r>
          </w:p>
        </w:tc>
      </w:tr>
      <w:tr w:rsidTr="00131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13">
            <w:pPr>
              <w:pStyle w:val="BodyText"/>
              <w:rPr>
                <w:lang w:val="en-NZ"/>
              </w:rPr>
            </w:pPr>
            <w:r w:rsidRPr="00131F1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13" w:rsidP="00131F13">
            <w:pPr>
              <w:pStyle w:val="BodyText"/>
            </w:pPr>
            <w:r w:rsidRPr="00131F13">
              <w:t>Release 2 HLTOHC010 Use basic oral health screening tools supersedes and is equivalent to Release 1 HLTOHC010 Use basic oral health screening tools.</w:t>
            </w:r>
          </w:p>
          <w:p w:rsidR="00000000" w:rsidRPr="00131F13" w:rsidP="00131F13">
            <w:pPr>
              <w:pStyle w:val="BodyText"/>
            </w:pPr>
            <w:r w:rsidRPr="00131F13">
              <w:t>Updated:</w:t>
            </w:r>
          </w:p>
          <w:p w:rsidR="00000000" w:rsidP="00131F13">
            <w:pPr>
              <w:pStyle w:val="BodyText"/>
              <w:rPr>
                <w:lang w:val="en-NZ"/>
              </w:rPr>
            </w:pPr>
            <w:r w:rsidRPr="00131F13">
              <w:t>Mapping details and minor corrections.</w:t>
            </w:r>
          </w:p>
        </w:tc>
      </w:tr>
      <w:tr w:rsidTr="00131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13">
            <w:pPr>
              <w:pStyle w:val="BodyText"/>
              <w:rPr>
                <w:lang w:val="en-NZ"/>
              </w:rPr>
            </w:pPr>
            <w:r w:rsidRPr="00131F1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13" w:rsidP="00131F13">
            <w:pPr>
              <w:pStyle w:val="BodyText"/>
            </w:pPr>
            <w:r w:rsidRPr="00131F13">
              <w:t xml:space="preserve">HLTOHC010 Use basic oral health screening tools </w:t>
            </w:r>
            <w:r w:rsidRPr="00131F13">
              <w:t>supersedes and is equivalent to HLTOHC005 Use basic oral health screening tools.</w:t>
            </w:r>
          </w:p>
        </w:tc>
      </w:tr>
    </w:tbl>
    <w:p w:rsidR="00000000" w:rsidRPr="00131F13" w:rsidP="00131F13">
      <w:pPr>
        <w:pStyle w:val="BodyText"/>
      </w:pPr>
    </w:p>
    <w:p w:rsidR="00000000" w:rsidRPr="00131F13" w:rsidP="00131F13">
      <w:pPr>
        <w:pStyle w:val="AllowPageBreak"/>
      </w:pPr>
    </w:p>
    <w:p w:rsidR="00000000" w:rsidRPr="00131F13" w:rsidP="00131F13">
      <w:pPr>
        <w:pStyle w:val="Heading1"/>
      </w:pPr>
      <w:bookmarkStart w:id="2" w:name="O_1200204"/>
      <w:bookmarkEnd w:id="2"/>
      <w:r w:rsidRPr="00131F13">
        <w:t>Performance Evidence</w:t>
      </w:r>
    </w:p>
    <w:p w:rsidR="00000000" w:rsidRPr="00131F13" w:rsidP="00C2255A">
      <w:pPr>
        <w:pStyle w:val="BodyText"/>
      </w:pPr>
      <w:r w:rsidRPr="00131F13">
        <w:t>Evidence of the ability to complete tasks outlined in elements and performance criteria of this unit in the context of the job role, and:</w:t>
      </w:r>
    </w:p>
    <w:p w:rsidR="00000000" w:rsidRPr="00131F13" w:rsidP="00131F13">
      <w:pPr>
        <w:pStyle w:val="ListBullet"/>
      </w:pPr>
      <w:r w:rsidRPr="00131F13">
        <w:t>communicate effectively with at least five patients to establish a relationship of trust and provide oral health info</w:t>
      </w:r>
      <w:r w:rsidRPr="00131F13">
        <w:t>rmation, including gaining patient’s understanding of how the oral health screening tools are used</w:t>
      </w:r>
    </w:p>
    <w:p w:rsidR="00000000" w:rsidRPr="00131F13" w:rsidP="00131F13">
      <w:pPr>
        <w:pStyle w:val="ListBullet"/>
      </w:pPr>
      <w:r w:rsidRPr="00131F13">
        <w:t>use relevant endorsed oral health screening tools and techniques on five different patients, including:</w:t>
      </w:r>
    </w:p>
    <w:p w:rsidR="00000000" w:rsidRPr="00131F13" w:rsidP="00131F13">
      <w:pPr>
        <w:pStyle w:val="ListBullet2"/>
      </w:pPr>
      <w:r w:rsidRPr="00131F13">
        <w:t>interpreting and reporting results</w:t>
      </w:r>
    </w:p>
    <w:p w:rsidR="00000000" w:rsidRPr="00131F13" w:rsidP="00131F13">
      <w:pPr>
        <w:pStyle w:val="ListBullet2"/>
      </w:pPr>
      <w:r w:rsidRPr="00131F13">
        <w:t xml:space="preserve">documentation of </w:t>
      </w:r>
      <w:r w:rsidRPr="00131F13">
        <w:t>findings</w:t>
      </w:r>
    </w:p>
    <w:p w:rsidR="00000000" w:rsidRPr="00131F13" w:rsidP="00131F13">
      <w:pPr>
        <w:pStyle w:val="ListBullet2"/>
      </w:pPr>
      <w:r w:rsidRPr="00131F13">
        <w:t>referral of patients as required.</w:t>
      </w:r>
    </w:p>
    <w:p w:rsidR="00000000" w:rsidRPr="00131F13" w:rsidP="00131F13">
      <w:pPr>
        <w:pStyle w:val="AllowPageBreak"/>
      </w:pPr>
    </w:p>
    <w:p w:rsidR="00000000" w:rsidRPr="00131F13" w:rsidP="00131F13">
      <w:pPr>
        <w:pStyle w:val="Heading1"/>
      </w:pPr>
      <w:bookmarkStart w:id="3" w:name="O_1200203"/>
      <w:bookmarkEnd w:id="3"/>
      <w:r w:rsidRPr="00131F13">
        <w:t>Knowledge Evidence</w:t>
      </w:r>
    </w:p>
    <w:p w:rsidR="00000000" w:rsidRPr="00131F13" w:rsidP="00C2255A">
      <w:pPr>
        <w:pStyle w:val="BodyText"/>
      </w:pPr>
      <w:r w:rsidRPr="00131F13">
        <w:t>Demonstrated knowledge required to complete the tasks outlined in elements and performance criteria of this unit:</w:t>
      </w:r>
    </w:p>
    <w:p w:rsidR="00000000" w:rsidRPr="00131F13" w:rsidP="00131F13">
      <w:pPr>
        <w:pStyle w:val="ListBullet"/>
      </w:pPr>
      <w:r w:rsidRPr="00131F13">
        <w:t>how to use the relevant endorsed oral health screening tools</w:t>
      </w:r>
      <w:r w:rsidRPr="00131F13">
        <w:t xml:space="preserve"> and techniques including:</w:t>
      </w:r>
    </w:p>
    <w:p w:rsidR="00000000" w:rsidRPr="00131F13" w:rsidP="00131F13">
      <w:pPr>
        <w:pStyle w:val="ListBullet2"/>
      </w:pPr>
      <w:r w:rsidRPr="00131F13">
        <w:t>preparation of screening tools</w:t>
      </w:r>
    </w:p>
    <w:p w:rsidR="00000000" w:rsidRPr="00131F13" w:rsidP="00131F13">
      <w:pPr>
        <w:pStyle w:val="ListBullet2"/>
      </w:pPr>
      <w:r w:rsidRPr="00131F13">
        <w:t>communication strategies to aid in screening instrument questioning</w:t>
      </w:r>
    </w:p>
    <w:p w:rsidR="00000000" w:rsidRPr="00131F13" w:rsidP="00131F13">
      <w:pPr>
        <w:pStyle w:val="ListBullet2"/>
      </w:pPr>
      <w:r w:rsidRPr="00131F13">
        <w:t>evaluation of tool effectiveness</w:t>
      </w:r>
    </w:p>
    <w:p w:rsidR="00000000" w:rsidRPr="00131F13" w:rsidP="00131F13">
      <w:pPr>
        <w:pStyle w:val="ListBullet2"/>
      </w:pPr>
      <w:r w:rsidRPr="00131F13">
        <w:t>follow-up on unsuccessful screening</w:t>
      </w:r>
    </w:p>
    <w:p w:rsidR="00000000" w:rsidRPr="00131F13" w:rsidP="00131F13">
      <w:pPr>
        <w:pStyle w:val="ListBullet"/>
      </w:pPr>
      <w:r w:rsidRPr="00131F13">
        <w:t>oral health</w:t>
      </w:r>
      <w:r w:rsidRPr="00131F13">
        <w:t xml:space="preserve"> screening instruments and ways to respond to the results, including:</w:t>
      </w:r>
    </w:p>
    <w:p w:rsidR="00000000" w:rsidRPr="00131F13" w:rsidP="00131F13">
      <w:pPr>
        <w:pStyle w:val="ListBullet2"/>
      </w:pPr>
      <w:r w:rsidRPr="00131F13">
        <w:t>referral pathways and processes</w:t>
      </w:r>
    </w:p>
    <w:p w:rsidR="00000000" w:rsidRPr="00131F13" w:rsidP="00131F13">
      <w:pPr>
        <w:pStyle w:val="ListBullet2"/>
      </w:pPr>
      <w:r w:rsidRPr="00131F13">
        <w:t>screening tools, procedures and associated rationale for use</w:t>
      </w:r>
    </w:p>
    <w:p w:rsidR="00000000" w:rsidRPr="00131F13" w:rsidP="00131F13">
      <w:pPr>
        <w:pStyle w:val="ListBullet2"/>
      </w:pPr>
      <w:r w:rsidRPr="00131F13">
        <w:t>workplace policies, procedures and programs for screening</w:t>
      </w:r>
    </w:p>
    <w:p w:rsidR="00000000" w:rsidRPr="00131F13" w:rsidP="00131F13">
      <w:pPr>
        <w:pStyle w:val="ListBullet"/>
      </w:pPr>
      <w:r w:rsidRPr="00131F13">
        <w:t>impacts of existing health condit</w:t>
      </w:r>
      <w:r w:rsidRPr="00131F13">
        <w:t>ions on oral health</w:t>
      </w:r>
    </w:p>
    <w:p w:rsidR="00000000" w:rsidRPr="00131F13" w:rsidP="00131F13">
      <w:pPr>
        <w:pStyle w:val="ListBullet"/>
      </w:pPr>
      <w:r w:rsidRPr="00131F13">
        <w:t>relevant National and State or Territory government policy, programs and reporting processes for oral health.</w:t>
      </w:r>
    </w:p>
    <w:p w:rsidR="00000000" w:rsidRPr="00131F13" w:rsidP="00131F13">
      <w:pPr>
        <w:pStyle w:val="AllowPageBreak"/>
      </w:pPr>
    </w:p>
    <w:p w:rsidR="00000000" w:rsidRPr="00131F13" w:rsidP="00131F13">
      <w:pPr>
        <w:pStyle w:val="Heading1"/>
      </w:pPr>
      <w:bookmarkStart w:id="4" w:name="O_1200202"/>
      <w:bookmarkEnd w:id="4"/>
      <w:r w:rsidRPr="00131F13">
        <w:t>Assessment Conditions</w:t>
      </w:r>
    </w:p>
    <w:p w:rsidR="00000000" w:rsidRPr="00131F13" w:rsidP="00C2255A">
      <w:pPr>
        <w:pStyle w:val="BodyText"/>
      </w:pPr>
      <w:r w:rsidRPr="00131F13">
        <w:t>Skills must be demonstrated in the workplace or in a simulated environment that refle</w:t>
      </w:r>
      <w:r w:rsidRPr="00131F13">
        <w:t>cts workplace conditions. Where simulation is used, it must reflect real working conditions by modelling industry operating conditions and contingencies.</w:t>
      </w:r>
    </w:p>
    <w:p w:rsidR="00000000" w:rsidRPr="00131F13" w:rsidP="00C2255A">
      <w:pPr>
        <w:pStyle w:val="BodyText"/>
      </w:pPr>
      <w:r w:rsidRPr="00131F13">
        <w:t>Assessment must ensure:</w:t>
      </w:r>
    </w:p>
    <w:p w:rsidR="00000000" w:rsidRPr="00131F13" w:rsidP="00131F13">
      <w:pPr>
        <w:pStyle w:val="ListBullet"/>
      </w:pPr>
      <w:r w:rsidRPr="00131F13">
        <w:t>access to suitable facilities, equipment and resources including:</w:t>
      </w:r>
    </w:p>
    <w:p w:rsidR="00000000" w:rsidRPr="00131F13" w:rsidP="00131F13">
      <w:pPr>
        <w:pStyle w:val="ListBullet2"/>
      </w:pPr>
      <w:r w:rsidRPr="00131F13">
        <w:t>oral healt</w:t>
      </w:r>
      <w:r w:rsidRPr="00131F13">
        <w:t>h screening tools and instruments</w:t>
      </w:r>
    </w:p>
    <w:p w:rsidR="00000000" w:rsidRPr="00131F13" w:rsidP="00131F13">
      <w:pPr>
        <w:pStyle w:val="ListBullet"/>
      </w:pPr>
      <w:r w:rsidRPr="00131F13">
        <w:t>access to current Dental Board of Australia (DBA) and Australian Health Practitioner Regulation Agency (AHPRA) guidelines</w:t>
      </w:r>
    </w:p>
    <w:p w:rsidR="00000000" w:rsidRPr="00131F13" w:rsidP="00131F13">
      <w:pPr>
        <w:pStyle w:val="ListBullet"/>
      </w:pPr>
      <w:r w:rsidRPr="00131F13">
        <w:t>access to current Dental Board of Australia (DBA) infection control and record keeping guidelines</w:t>
      </w:r>
    </w:p>
    <w:p w:rsidR="00000000" w:rsidRPr="00131F13" w:rsidP="00131F13">
      <w:pPr>
        <w:pStyle w:val="ListBullet"/>
      </w:pPr>
      <w:r w:rsidRPr="00131F13">
        <w:t>modelling of industry operating conditions including access to people for simulations and scenarios in oral health care work</w:t>
      </w:r>
    </w:p>
    <w:p w:rsidR="00000000" w:rsidRPr="00131F13" w:rsidP="00C2255A">
      <w:pPr>
        <w:pStyle w:val="BodyText"/>
      </w:pPr>
      <w:r w:rsidRPr="00131F13">
        <w:t>Assessors must satisfy the Standards for Registered Training Organisations’ requirements for assessors.</w:t>
      </w:r>
    </w:p>
    <w:p w:rsidR="00000000" w:rsidRPr="00131F13" w:rsidP="00131F13">
      <w:pPr>
        <w:pStyle w:val="Heading1"/>
      </w:pPr>
      <w:bookmarkStart w:id="5" w:name="O_1200216"/>
      <w:bookmarkEnd w:id="5"/>
      <w:r w:rsidRPr="00131F13">
        <w:t>Links</w:t>
      </w:r>
    </w:p>
    <w:p w:rsidR="00000000" w:rsidRPr="00131F13" w:rsidP="00C2255A">
      <w:pPr>
        <w:pStyle w:val="BodyText"/>
      </w:pPr>
      <w:r w:rsidRPr="00131F13">
        <w:t>Co</w:t>
      </w:r>
      <w:r w:rsidRPr="00131F13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D1B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31F13" w:rsidP="00131F13"/>
    <w:sectPr w:rsidSect="00131F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13" w:rsidRPr="00C2255A" w:rsidP="00C22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5A" w:rsidP="00131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255A" w:rsidP="00131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255A" w:rsidP="00131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F13" w:rsidRPr="00C2255A" w:rsidP="00C22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5A" w:rsidRPr="002D2AF8" w:rsidP="00131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HLTOHC010 Use basic oral health screening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2255A" w:rsidP="00131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727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2CB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9E4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F13"/>
  </w:style>
  <w:style w:type="character" w:customStyle="1" w:styleId="Heading1Char">
    <w:name w:val="Heading 1 Char"/>
    <w:basedOn w:val="DefaultParagraphFont"/>
    <w:link w:val="Heading1"/>
    <w:rsid w:val="00131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F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F13"/>
    <w:rPr>
      <w:b/>
      <w:spacing w:val="0"/>
    </w:rPr>
  </w:style>
  <w:style w:type="paragraph" w:styleId="ListBullet2">
    <w:name w:val="List Bullet 2"/>
    <w:basedOn w:val="List2"/>
    <w:rsid w:val="00131F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F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F13"/>
    <w:rPr>
      <w:i/>
    </w:rPr>
  </w:style>
  <w:style w:type="paragraph" w:styleId="Caption">
    <w:name w:val="caption"/>
    <w:basedOn w:val="BodyText"/>
    <w:next w:val="Normal"/>
    <w:qFormat/>
    <w:rsid w:val="00131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F13"/>
  </w:style>
  <w:style w:type="paragraph" w:styleId="TableofFigures">
    <w:name w:val="table of figures"/>
    <w:basedOn w:val="Normal"/>
    <w:next w:val="Normal"/>
    <w:semiHidden/>
    <w:rsid w:val="00131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F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F13"/>
    <w:rPr>
      <w:rFonts w:ascii="Wingdings" w:hAnsi="Wingdings"/>
    </w:rPr>
  </w:style>
  <w:style w:type="paragraph" w:customStyle="1" w:styleId="TableHeading">
    <w:name w:val="Table Heading"/>
    <w:basedOn w:val="HeadingBase"/>
    <w:rsid w:val="00131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F13"/>
    <w:rPr>
      <w:color w:val="0033CC"/>
      <w:u w:val="none"/>
    </w:rPr>
  </w:style>
  <w:style w:type="paragraph" w:customStyle="1" w:styleId="BodyTextRight">
    <w:name w:val="Body Text Right"/>
    <w:basedOn w:val="BodyText"/>
    <w:rsid w:val="00131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F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F13"/>
    <w:rPr>
      <w:sz w:val="32"/>
    </w:rPr>
  </w:style>
  <w:style w:type="paragraph" w:customStyle="1" w:styleId="HeadingProcedure">
    <w:name w:val="Heading Procedure"/>
    <w:basedOn w:val="HeadingBase"/>
    <w:next w:val="Normal"/>
    <w:rsid w:val="00131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F13"/>
    <w:pPr>
      <w:spacing w:before="60" w:after="60"/>
    </w:pPr>
  </w:style>
  <w:style w:type="paragraph" w:styleId="ListContinue">
    <w:name w:val="List Continue"/>
    <w:basedOn w:val="List"/>
    <w:rsid w:val="00131F13"/>
    <w:pPr>
      <w:ind w:firstLine="0"/>
    </w:pPr>
  </w:style>
  <w:style w:type="paragraph" w:customStyle="1" w:styleId="ListNote">
    <w:name w:val="List Note"/>
    <w:basedOn w:val="List"/>
    <w:rsid w:val="00131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F13"/>
    <w:rPr>
      <w:rFonts w:ascii="Courier New" w:hAnsi="Courier New"/>
    </w:rPr>
  </w:style>
  <w:style w:type="paragraph" w:customStyle="1" w:styleId="NoteBullet">
    <w:name w:val="Note Bullet"/>
    <w:basedOn w:val="Note"/>
    <w:rsid w:val="00131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F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F13"/>
    <w:rPr>
      <w:b/>
      <w:smallCaps/>
    </w:rPr>
  </w:style>
  <w:style w:type="paragraph" w:customStyle="1" w:styleId="TableListNumber">
    <w:name w:val="Table List Number"/>
    <w:basedOn w:val="ListNumber"/>
    <w:rsid w:val="00131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F13"/>
    <w:pPr>
      <w:numPr>
        <w:numId w:val="9"/>
      </w:numPr>
    </w:pPr>
  </w:style>
  <w:style w:type="paragraph" w:customStyle="1" w:styleId="ListAlpha2">
    <w:name w:val="List Alpha 2"/>
    <w:basedOn w:val="List2"/>
    <w:rsid w:val="00131F13"/>
    <w:pPr>
      <w:numPr>
        <w:numId w:val="8"/>
      </w:numPr>
    </w:pPr>
  </w:style>
  <w:style w:type="paragraph" w:styleId="List2">
    <w:name w:val="List 2"/>
    <w:basedOn w:val="BodyText"/>
    <w:rsid w:val="00131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F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F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F13"/>
    <w:pPr>
      <w:numPr>
        <w:numId w:val="4"/>
      </w:numPr>
    </w:pPr>
  </w:style>
  <w:style w:type="paragraph" w:styleId="ListContinue2">
    <w:name w:val="List Continue 2"/>
    <w:basedOn w:val="List2"/>
    <w:rsid w:val="00131F13"/>
    <w:pPr>
      <w:ind w:firstLine="0"/>
    </w:pPr>
  </w:style>
  <w:style w:type="paragraph" w:styleId="ListContinue3">
    <w:name w:val="List Continue 3"/>
    <w:basedOn w:val="List3"/>
    <w:rsid w:val="00131F13"/>
    <w:pPr>
      <w:ind w:left="1021" w:firstLine="0"/>
    </w:pPr>
  </w:style>
  <w:style w:type="paragraph" w:styleId="ListContinue4">
    <w:name w:val="List Continue 4"/>
    <w:basedOn w:val="List4"/>
    <w:rsid w:val="00131F13"/>
    <w:pPr>
      <w:ind w:firstLine="0"/>
    </w:pPr>
  </w:style>
  <w:style w:type="paragraph" w:styleId="ListContinue5">
    <w:name w:val="List Continue 5"/>
    <w:basedOn w:val="List5"/>
    <w:rsid w:val="00131F13"/>
    <w:pPr>
      <w:ind w:firstLine="0"/>
    </w:pPr>
  </w:style>
  <w:style w:type="paragraph" w:styleId="ListNumber3">
    <w:name w:val="List Number 3"/>
    <w:basedOn w:val="List3"/>
    <w:rsid w:val="00131F13"/>
    <w:pPr>
      <w:numPr>
        <w:numId w:val="5"/>
      </w:numPr>
    </w:pPr>
  </w:style>
  <w:style w:type="paragraph" w:styleId="ListNumber4">
    <w:name w:val="List Number 4"/>
    <w:basedOn w:val="List4"/>
    <w:rsid w:val="00131F13"/>
    <w:pPr>
      <w:numPr>
        <w:numId w:val="6"/>
      </w:numPr>
    </w:pPr>
  </w:style>
  <w:style w:type="paragraph" w:styleId="ListNumber5">
    <w:name w:val="List Number 5"/>
    <w:basedOn w:val="List5"/>
    <w:rsid w:val="00131F13"/>
    <w:pPr>
      <w:numPr>
        <w:numId w:val="7"/>
      </w:numPr>
    </w:pPr>
  </w:style>
  <w:style w:type="paragraph" w:styleId="BlockText">
    <w:name w:val="Block Text"/>
    <w:basedOn w:val="Normal"/>
    <w:rsid w:val="00131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F13"/>
    <w:rPr>
      <w:sz w:val="16"/>
      <w:vertAlign w:val="superscript"/>
    </w:rPr>
  </w:style>
  <w:style w:type="character" w:customStyle="1" w:styleId="Symbols">
    <w:name w:val="Symbols"/>
    <w:basedOn w:val="DefaultParagraphFont"/>
    <w:rsid w:val="00131F13"/>
    <w:rPr>
      <w:rFonts w:ascii="Symbol" w:hAnsi="Symbol"/>
    </w:rPr>
  </w:style>
  <w:style w:type="character" w:customStyle="1" w:styleId="MenuOptions">
    <w:name w:val="Menu Options"/>
    <w:basedOn w:val="DefaultParagraphFont"/>
    <w:rsid w:val="00131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F13"/>
    <w:rPr>
      <w:b/>
    </w:rPr>
  </w:style>
  <w:style w:type="character" w:customStyle="1" w:styleId="Underlined">
    <w:name w:val="Underlined"/>
    <w:basedOn w:val="DefaultParagraphFont"/>
    <w:rsid w:val="00131F13"/>
    <w:rPr>
      <w:u w:val="single"/>
    </w:rPr>
  </w:style>
  <w:style w:type="paragraph" w:customStyle="1" w:styleId="TableBodyTextRight">
    <w:name w:val="Table Body Text Right"/>
    <w:basedOn w:val="TableBodyText"/>
    <w:rsid w:val="00131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F13"/>
    <w:rPr>
      <w:sz w:val="18"/>
    </w:rPr>
  </w:style>
  <w:style w:type="paragraph" w:customStyle="1" w:styleId="BodySmallRight">
    <w:name w:val="Body Small Right"/>
    <w:basedOn w:val="BodyTextRight"/>
    <w:rsid w:val="00131F13"/>
    <w:rPr>
      <w:sz w:val="18"/>
      <w:szCs w:val="18"/>
    </w:rPr>
  </w:style>
  <w:style w:type="paragraph" w:customStyle="1" w:styleId="MarginEdition">
    <w:name w:val="Margin Edition"/>
    <w:basedOn w:val="MarginNote"/>
    <w:rsid w:val="00131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F13"/>
    <w:rPr>
      <w:sz w:val="2"/>
      <w:szCs w:val="2"/>
    </w:rPr>
  </w:style>
  <w:style w:type="character" w:customStyle="1" w:styleId="Small">
    <w:name w:val="Small"/>
    <w:basedOn w:val="DefaultParagraphFont"/>
    <w:rsid w:val="00131F13"/>
    <w:rPr>
      <w:sz w:val="16"/>
    </w:rPr>
  </w:style>
  <w:style w:type="paragraph" w:customStyle="1" w:styleId="WideTable">
    <w:name w:val="Wide Table"/>
    <w:basedOn w:val="Normal"/>
    <w:rsid w:val="00131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F13"/>
  </w:style>
  <w:style w:type="paragraph" w:styleId="Quote">
    <w:name w:val="Quote"/>
    <w:basedOn w:val="Heading1"/>
    <w:link w:val="QuoteChar"/>
    <w:qFormat/>
    <w:rsid w:val="00131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F13"/>
    <w:pPr>
      <w:pageBreakBefore/>
    </w:pPr>
  </w:style>
  <w:style w:type="paragraph" w:customStyle="1" w:styleId="Border">
    <w:name w:val="Border"/>
    <w:basedOn w:val="Normal"/>
    <w:qFormat/>
    <w:rsid w:val="00131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F13"/>
    <w:rPr>
      <w:u w:val="single"/>
    </w:rPr>
  </w:style>
  <w:style w:type="character" w:customStyle="1" w:styleId="BoldandItalics">
    <w:name w:val="Bold and Italics"/>
    <w:qFormat/>
    <w:rsid w:val="00131F13"/>
    <w:rPr>
      <w:b/>
      <w:i/>
      <w:u w:val="none"/>
    </w:rPr>
  </w:style>
  <w:style w:type="paragraph" w:styleId="BalloonText">
    <w:name w:val="Balloon Text"/>
    <w:basedOn w:val="Normal"/>
    <w:link w:val="BalloonTextChar"/>
    <w:rsid w:val="00131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F13"/>
    <w:pPr>
      <w:spacing w:before="0" w:after="0"/>
    </w:pPr>
  </w:style>
  <w:style w:type="paragraph" w:customStyle="1" w:styleId="BodyTextBold">
    <w:name w:val="Body Text Bold"/>
    <w:basedOn w:val="BodyText"/>
    <w:qFormat/>
    <w:rsid w:val="00131F13"/>
    <w:rPr>
      <w:b/>
    </w:rPr>
  </w:style>
  <w:style w:type="character" w:styleId="Hyperlink">
    <w:name w:val="Hyperlink"/>
    <w:basedOn w:val="DefaultParagraphFont"/>
    <w:uiPriority w:val="99"/>
    <w:unhideWhenUsed/>
    <w:rsid w:val="00C22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2668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HLTOHC010 Use basic oral health screening tools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