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1E14" w:rsidP="00391E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HLTOHC008 Inform and support patients and groups about oral health</w:t>
      </w:r>
      <w:r>
        <w:fldChar w:fldCharType="end"/>
      </w:r>
    </w:p>
    <w:p w:rsidR="00391E14" w:rsidP="00391E14">
      <w:pPr>
        <w:pStyle w:val="Version"/>
        <w:sectPr w:rsidSect="00F207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2078D" w:rsidP="00F2078D">
      <w:pPr>
        <w:pStyle w:val="SuperHeading"/>
      </w:pPr>
      <w:r w:rsidRPr="00F2078D">
        <w:t>Assessment Requirements for HLTOHC008 Inform and support patients and groups about oral health</w:t>
      </w:r>
    </w:p>
    <w:p w:rsidR="00000000" w:rsidRPr="00F2078D" w:rsidP="00F2078D">
      <w:pPr>
        <w:pStyle w:val="Heading1"/>
      </w:pPr>
      <w:bookmarkStart w:id="1" w:name="O_1200239"/>
      <w:bookmarkEnd w:id="1"/>
      <w:r w:rsidRPr="00F207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F207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2078D" w:rsidP="00F2078D">
            <w:pPr>
              <w:pStyle w:val="BodyText"/>
            </w:pPr>
            <w:r w:rsidRPr="00F2078D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2078D">
            <w:pPr>
              <w:pStyle w:val="BodyText"/>
              <w:rPr>
                <w:lang w:val="en-NZ"/>
              </w:rPr>
            </w:pPr>
            <w:r w:rsidRPr="00F2078D">
              <w:rPr>
                <w:rStyle w:val="SpecialBold"/>
              </w:rPr>
              <w:t>Comments</w:t>
            </w:r>
          </w:p>
        </w:tc>
      </w:tr>
      <w:tr w:rsidTr="00F207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8D">
            <w:pPr>
              <w:pStyle w:val="BodyText"/>
              <w:rPr>
                <w:lang w:val="en-NZ"/>
              </w:rPr>
            </w:pPr>
            <w:r w:rsidRPr="00F2078D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78D" w:rsidP="00F2078D">
            <w:pPr>
              <w:pStyle w:val="BodyText"/>
            </w:pPr>
            <w:r w:rsidRPr="00F2078D">
              <w:t>Release 2 HLTOHC008 Inform and support patients and groups about oral health supersedes and is equivalent to Release 1 HLTOHC008 Inform and support patients and groups about oral health.</w:t>
            </w:r>
          </w:p>
          <w:p w:rsidR="00000000" w:rsidRPr="00F2078D" w:rsidP="00F2078D">
            <w:pPr>
              <w:pStyle w:val="BodyText"/>
            </w:pPr>
            <w:r w:rsidRPr="00F2078D">
              <w:t>Updated:</w:t>
            </w:r>
          </w:p>
          <w:p w:rsidR="00000000" w:rsidP="00F2078D">
            <w:pPr>
              <w:pStyle w:val="BodyText"/>
              <w:rPr>
                <w:lang w:val="en-NZ"/>
              </w:rPr>
            </w:pPr>
            <w:r w:rsidRPr="00F2078D">
              <w:t>Mapping details and minor corrections.</w:t>
            </w:r>
          </w:p>
        </w:tc>
      </w:tr>
      <w:tr w:rsidTr="00F207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78D">
            <w:pPr>
              <w:pStyle w:val="BodyText"/>
              <w:rPr>
                <w:lang w:val="en-NZ"/>
              </w:rPr>
            </w:pPr>
            <w:r w:rsidRPr="00F2078D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78D" w:rsidP="00F2078D">
            <w:pPr>
              <w:pStyle w:val="BodyText"/>
            </w:pPr>
            <w:r w:rsidRPr="00F2078D">
              <w:t xml:space="preserve">HLTOHC008 </w:t>
            </w:r>
            <w:r w:rsidRPr="00F2078D">
              <w:t>Inform and support patients and groups about oral health supersedes and is equivalent to HLTOHC002 Inform and support patients and groups about oral health.</w:t>
            </w:r>
          </w:p>
        </w:tc>
      </w:tr>
    </w:tbl>
    <w:p w:rsidR="00000000" w:rsidRPr="00F2078D" w:rsidP="00F2078D">
      <w:pPr>
        <w:pStyle w:val="BodyText"/>
      </w:pPr>
    </w:p>
    <w:p w:rsidR="00000000" w:rsidRPr="00F2078D" w:rsidP="00F2078D">
      <w:pPr>
        <w:pStyle w:val="AllowPageBreak"/>
      </w:pPr>
    </w:p>
    <w:p w:rsidR="00000000" w:rsidRPr="00F2078D" w:rsidP="00F2078D">
      <w:pPr>
        <w:pStyle w:val="Heading1"/>
      </w:pPr>
      <w:bookmarkStart w:id="2" w:name="O_1200238"/>
      <w:bookmarkEnd w:id="2"/>
      <w:r w:rsidRPr="00F2078D">
        <w:t>Performance Evidence</w:t>
      </w:r>
    </w:p>
    <w:p w:rsidR="00000000" w:rsidRPr="00F2078D" w:rsidP="00391E14">
      <w:pPr>
        <w:pStyle w:val="BodyText"/>
      </w:pPr>
      <w:r w:rsidRPr="00F2078D">
        <w:t>Evidence of the ability to complete tasks outlined in elements and performance criteria of this unit in the context of the job role, and:</w:t>
      </w:r>
    </w:p>
    <w:p w:rsidR="00000000" w:rsidRPr="00F2078D" w:rsidP="00F2078D">
      <w:pPr>
        <w:pStyle w:val="ListBullet"/>
      </w:pPr>
      <w:r w:rsidRPr="00F2078D">
        <w:t>communicate effectively to at least one individual patient and a group of at least five patients to provide informati</w:t>
      </w:r>
      <w:r w:rsidRPr="00F2078D">
        <w:t>on that addresses their oral health care needs, including:</w:t>
      </w:r>
    </w:p>
    <w:p w:rsidR="00000000" w:rsidRPr="00F2078D" w:rsidP="00F2078D">
      <w:pPr>
        <w:pStyle w:val="ListBullet2"/>
      </w:pPr>
      <w:r w:rsidRPr="00F2078D">
        <w:t>impact of oral health on general health and wellbeing</w:t>
      </w:r>
    </w:p>
    <w:p w:rsidR="00000000" w:rsidRPr="00F2078D" w:rsidP="00F2078D">
      <w:pPr>
        <w:pStyle w:val="ListBullet2"/>
      </w:pPr>
      <w:r w:rsidRPr="00F2078D">
        <w:t>causes and prevention of dental plaque, dental caries, dental erosion and periodontal disease and dental trauma</w:t>
      </w:r>
    </w:p>
    <w:p w:rsidR="00000000" w:rsidRPr="00F2078D" w:rsidP="00F2078D">
      <w:pPr>
        <w:pStyle w:val="ListBullet2"/>
      </w:pPr>
      <w:r w:rsidRPr="00F2078D">
        <w:t>diet and nutrition</w:t>
      </w:r>
    </w:p>
    <w:p w:rsidR="00000000" w:rsidRPr="00F2078D" w:rsidP="00F2078D">
      <w:pPr>
        <w:pStyle w:val="ListBullet2"/>
      </w:pPr>
      <w:r w:rsidRPr="00F2078D">
        <w:t>denture car</w:t>
      </w:r>
      <w:r w:rsidRPr="00F2078D">
        <w:t>e on patients with dentures</w:t>
      </w:r>
    </w:p>
    <w:p w:rsidR="00000000" w:rsidRPr="00F2078D" w:rsidP="00F2078D">
      <w:pPr>
        <w:pStyle w:val="ListBullet"/>
      </w:pPr>
      <w:r w:rsidRPr="00F2078D">
        <w:t>for each of the above, evaluate how well target audience has understood the oral health and self-care practice information provided</w:t>
      </w:r>
    </w:p>
    <w:p w:rsidR="00000000" w:rsidRPr="00F2078D" w:rsidP="00F2078D">
      <w:pPr>
        <w:pStyle w:val="ListBullet"/>
      </w:pPr>
      <w:r w:rsidRPr="00F2078D">
        <w:t>for each of the above, reflect on and improve own level and application of skills and knowledge</w:t>
      </w:r>
      <w:r w:rsidRPr="00F2078D">
        <w:t xml:space="preserve"> to motivate target audience and achieve key oral health outcomes.</w:t>
      </w:r>
    </w:p>
    <w:p w:rsidR="00000000" w:rsidRPr="00F2078D" w:rsidP="00F2078D">
      <w:pPr>
        <w:pStyle w:val="AllowPageBreak"/>
      </w:pPr>
    </w:p>
    <w:p w:rsidR="00000000" w:rsidRPr="00F2078D" w:rsidP="00F2078D">
      <w:pPr>
        <w:pStyle w:val="Heading1"/>
      </w:pPr>
      <w:bookmarkStart w:id="3" w:name="O_1200237"/>
      <w:bookmarkEnd w:id="3"/>
      <w:r w:rsidRPr="00F2078D">
        <w:t>Knowledge Evidence</w:t>
      </w:r>
    </w:p>
    <w:p w:rsidR="00000000" w:rsidRPr="00F2078D" w:rsidP="00391E14">
      <w:pPr>
        <w:pStyle w:val="BodyText"/>
      </w:pPr>
      <w:r w:rsidRPr="00F2078D">
        <w:t>Demonstrated knowledge required to complete the tasks outlined in elements and performance criteria of this unit:</w:t>
      </w:r>
    </w:p>
    <w:p w:rsidR="00000000" w:rsidRPr="00F2078D" w:rsidP="00F2078D">
      <w:pPr>
        <w:pStyle w:val="ListBullet"/>
      </w:pPr>
      <w:r w:rsidRPr="00F2078D">
        <w:t>basic anatomy and physiology underpi</w:t>
      </w:r>
      <w:r w:rsidRPr="00F2078D">
        <w:t>nning oral health, including what is considered healthy and unhealthy.</w:t>
      </w:r>
    </w:p>
    <w:p w:rsidR="00000000" w:rsidRPr="00F2078D" w:rsidP="00F2078D">
      <w:pPr>
        <w:pStyle w:val="ListBullet"/>
      </w:pPr>
      <w:r w:rsidRPr="00F2078D">
        <w:t>patient behaviour and habits which contribute to oral health issues</w:t>
      </w:r>
    </w:p>
    <w:p w:rsidR="00000000" w:rsidRPr="00F2078D" w:rsidP="00F2078D">
      <w:pPr>
        <w:pStyle w:val="ListBullet"/>
      </w:pPr>
      <w:r w:rsidRPr="00F2078D">
        <w:t>causes and prevention of tooth decay, gum disease and tooth wear including erosion, abrasion and attrition</w:t>
      </w:r>
    </w:p>
    <w:p w:rsidR="00000000" w:rsidRPr="00F2078D" w:rsidP="00F2078D">
      <w:pPr>
        <w:pStyle w:val="ListBullet"/>
      </w:pPr>
      <w:r w:rsidRPr="00F2078D">
        <w:t>what constitutes good oral health:</w:t>
      </w:r>
    </w:p>
    <w:p w:rsidR="00000000" w:rsidRPr="00F2078D" w:rsidP="00F2078D">
      <w:pPr>
        <w:pStyle w:val="ListBullet2"/>
      </w:pPr>
      <w:r w:rsidRPr="00F2078D">
        <w:t>breath without offensive odour</w:t>
      </w:r>
    </w:p>
    <w:p w:rsidR="00000000" w:rsidRPr="00F2078D" w:rsidP="00F2078D">
      <w:pPr>
        <w:pStyle w:val="ListBullet2"/>
      </w:pPr>
      <w:r w:rsidRPr="00F2078D">
        <w:t>inflammation and lesion-free soft tissue in mouth</w:t>
      </w:r>
    </w:p>
    <w:p w:rsidR="00000000" w:rsidRPr="00F2078D" w:rsidP="00F2078D">
      <w:pPr>
        <w:pStyle w:val="ListBullet2"/>
      </w:pPr>
      <w:r w:rsidRPr="00F2078D">
        <w:t>intact and stable teeth without cavities</w:t>
      </w:r>
    </w:p>
    <w:p w:rsidR="00000000" w:rsidRPr="00F2078D" w:rsidP="00F2078D">
      <w:pPr>
        <w:pStyle w:val="ListBullet2"/>
      </w:pPr>
      <w:r w:rsidRPr="00F2078D">
        <w:t>moist lips without chapping</w:t>
      </w:r>
    </w:p>
    <w:p w:rsidR="00000000" w:rsidRPr="00F2078D" w:rsidP="00F2078D">
      <w:pPr>
        <w:pStyle w:val="ListBullet2"/>
      </w:pPr>
      <w:r w:rsidRPr="00F2078D">
        <w:t>no build-up of food, calculus or plaque</w:t>
      </w:r>
    </w:p>
    <w:p w:rsidR="00000000" w:rsidRPr="00F2078D" w:rsidP="00F2078D">
      <w:pPr>
        <w:pStyle w:val="ListBullet2"/>
      </w:pPr>
      <w:r w:rsidRPr="00F2078D">
        <w:t>no oral pain</w:t>
      </w:r>
    </w:p>
    <w:p w:rsidR="00000000" w:rsidRPr="00F2078D" w:rsidP="00F2078D">
      <w:pPr>
        <w:pStyle w:val="ListBullet2"/>
      </w:pPr>
      <w:r w:rsidRPr="00F2078D">
        <w:t>pink, moist, unco</w:t>
      </w:r>
      <w:r w:rsidRPr="00F2078D">
        <w:t>ated tongue</w:t>
      </w:r>
    </w:p>
    <w:p w:rsidR="00000000" w:rsidRPr="00F2078D" w:rsidP="00F2078D">
      <w:pPr>
        <w:pStyle w:val="ListBullet2"/>
      </w:pPr>
      <w:r w:rsidRPr="00F2078D">
        <w:t>watery plentiful saliva</w:t>
      </w:r>
    </w:p>
    <w:p w:rsidR="00000000" w:rsidRPr="00F2078D" w:rsidP="00F2078D">
      <w:pPr>
        <w:pStyle w:val="ListBullet2"/>
      </w:pPr>
      <w:r w:rsidRPr="00F2078D">
        <w:t>well-fitting dentures</w:t>
      </w:r>
    </w:p>
    <w:p w:rsidR="00000000" w:rsidRPr="00F2078D" w:rsidP="00F2078D">
      <w:pPr>
        <w:pStyle w:val="ListBullet"/>
      </w:pPr>
      <w:r w:rsidRPr="00F2078D">
        <w:t>accessibility to services, including availability of private and public oral health services and eligibility for services</w:t>
      </w:r>
    </w:p>
    <w:p w:rsidR="00000000" w:rsidRPr="00F2078D" w:rsidP="00F2078D">
      <w:pPr>
        <w:pStyle w:val="ListBullet"/>
      </w:pPr>
      <w:r w:rsidRPr="00F2078D">
        <w:t xml:space="preserve">effective self-care practices for oral health including cause, control and </w:t>
      </w:r>
      <w:r w:rsidRPr="00F2078D">
        <w:t>prevention of dental plaque</w:t>
      </w:r>
    </w:p>
    <w:p w:rsidR="00000000" w:rsidRPr="00F2078D" w:rsidP="00F2078D">
      <w:pPr>
        <w:pStyle w:val="ListBullet"/>
      </w:pPr>
      <w:r w:rsidRPr="00F2078D">
        <w:t>factors that impact on oral health, including:</w:t>
      </w:r>
    </w:p>
    <w:p w:rsidR="00000000" w:rsidRPr="00F2078D" w:rsidP="00F2078D">
      <w:pPr>
        <w:pStyle w:val="ListBullet2"/>
      </w:pPr>
      <w:r w:rsidRPr="00F2078D">
        <w:t>abuse including neglect of oral health needs</w:t>
      </w:r>
    </w:p>
    <w:p w:rsidR="00000000" w:rsidRPr="00F2078D" w:rsidP="00F2078D">
      <w:pPr>
        <w:pStyle w:val="ListBullet2"/>
      </w:pPr>
      <w:r w:rsidRPr="00F2078D">
        <w:t>access to dental and health services</w:t>
      </w:r>
    </w:p>
    <w:p w:rsidR="00000000" w:rsidRPr="00F2078D" w:rsidP="00F2078D">
      <w:pPr>
        <w:pStyle w:val="ListBullet2"/>
      </w:pPr>
      <w:r w:rsidRPr="00F2078D">
        <w:t>alcohol, licit and illicit drugs and substances, over the counter and herbal treatments</w:t>
      </w:r>
    </w:p>
    <w:p w:rsidR="00000000" w:rsidRPr="00F2078D" w:rsidP="00F2078D">
      <w:pPr>
        <w:pStyle w:val="ListBullet2"/>
      </w:pPr>
      <w:r w:rsidRPr="00F2078D">
        <w:t>bacteria in dental plaque</w:t>
      </w:r>
    </w:p>
    <w:p w:rsidR="00000000" w:rsidRPr="00F2078D" w:rsidP="00F2078D">
      <w:pPr>
        <w:pStyle w:val="ListBullet2"/>
      </w:pPr>
      <w:r w:rsidRPr="00F2078D">
        <w:t>correct infant feeding practices.</w:t>
      </w:r>
    </w:p>
    <w:p w:rsidR="00000000" w:rsidRPr="00F2078D" w:rsidP="00F2078D">
      <w:pPr>
        <w:pStyle w:val="ListBullet2"/>
      </w:pPr>
      <w:r w:rsidRPr="00F2078D">
        <w:t>damage from habitual grinding of teeth.</w:t>
      </w:r>
    </w:p>
    <w:p w:rsidR="00000000" w:rsidRPr="00F2078D" w:rsidP="00F2078D">
      <w:pPr>
        <w:pStyle w:val="ListBullet2"/>
      </w:pPr>
      <w:r w:rsidRPr="00F2078D">
        <w:t>diet and nutrition, including fluids and excessive intake of sugar.</w:t>
      </w:r>
    </w:p>
    <w:p w:rsidR="00000000" w:rsidRPr="00F2078D" w:rsidP="00F2078D">
      <w:pPr>
        <w:pStyle w:val="ListBullet2"/>
      </w:pPr>
      <w:r w:rsidRPr="00F2078D">
        <w:t>fluoride</w:t>
      </w:r>
    </w:p>
    <w:p w:rsidR="00000000" w:rsidRPr="00F2078D" w:rsidP="00F2078D">
      <w:pPr>
        <w:pStyle w:val="ListBullet2"/>
      </w:pPr>
      <w:r w:rsidRPr="00F2078D">
        <w:t>general health and wellbeing</w:t>
      </w:r>
    </w:p>
    <w:p w:rsidR="00000000" w:rsidRPr="00F2078D" w:rsidP="00F2078D">
      <w:pPr>
        <w:pStyle w:val="ListBullet2"/>
      </w:pPr>
      <w:r w:rsidRPr="00F2078D">
        <w:t>immunosuppressant conditions, HIV, chemotherapy an</w:t>
      </w:r>
      <w:r w:rsidRPr="00F2078D">
        <w:t>d radiation</w:t>
      </w:r>
    </w:p>
    <w:p w:rsidR="00000000" w:rsidRPr="00F2078D" w:rsidP="00F2078D">
      <w:pPr>
        <w:pStyle w:val="ListBullet2"/>
      </w:pPr>
      <w:r w:rsidRPr="00F2078D">
        <w:t>injury to mouth, including from a seizure</w:t>
      </w:r>
    </w:p>
    <w:p w:rsidR="00000000" w:rsidRPr="00F2078D" w:rsidP="00F2078D">
      <w:pPr>
        <w:pStyle w:val="ListBullet2"/>
      </w:pPr>
      <w:r w:rsidRPr="00F2078D">
        <w:t>medical history</w:t>
      </w:r>
    </w:p>
    <w:p w:rsidR="00000000" w:rsidRPr="00F2078D" w:rsidP="00F2078D">
      <w:pPr>
        <w:pStyle w:val="ListBullet2"/>
      </w:pPr>
      <w:r w:rsidRPr="00F2078D">
        <w:t>oral piercings</w:t>
      </w:r>
    </w:p>
    <w:p w:rsidR="00000000" w:rsidRPr="00F2078D" w:rsidP="00F2078D">
      <w:pPr>
        <w:pStyle w:val="ListBullet2"/>
      </w:pPr>
      <w:r w:rsidRPr="00F2078D">
        <w:t>patient oral health information</w:t>
      </w:r>
    </w:p>
    <w:p w:rsidR="00000000" w:rsidRPr="00F2078D" w:rsidP="00F2078D">
      <w:pPr>
        <w:pStyle w:val="ListBullet2"/>
      </w:pPr>
      <w:r w:rsidRPr="00F2078D">
        <w:t>presence of plaque and calculus</w:t>
      </w:r>
    </w:p>
    <w:p w:rsidR="00000000" w:rsidRPr="00F2078D" w:rsidP="00F2078D">
      <w:pPr>
        <w:pStyle w:val="ListBullet2"/>
      </w:pPr>
      <w:r w:rsidRPr="00F2078D">
        <w:t>psychological issues, including fear of</w:t>
      </w:r>
      <w:r w:rsidRPr="00F2078D">
        <w:t xml:space="preserve"> being seen without dentures or persisting with ill-fitting dentures for satisfaction of others</w:t>
      </w:r>
    </w:p>
    <w:p w:rsidR="00000000" w:rsidRPr="00F2078D" w:rsidP="00F2078D">
      <w:pPr>
        <w:pStyle w:val="ListBullet2"/>
      </w:pPr>
      <w:r w:rsidRPr="00F2078D">
        <w:t>salivary function.</w:t>
      </w:r>
    </w:p>
    <w:p w:rsidR="00000000" w:rsidRPr="00F2078D" w:rsidP="00F2078D">
      <w:pPr>
        <w:pStyle w:val="ListBullet2"/>
      </w:pPr>
      <w:r w:rsidRPr="00F2078D">
        <w:t>smoking</w:t>
      </w:r>
    </w:p>
    <w:p w:rsidR="00000000" w:rsidRPr="00F2078D" w:rsidP="00F2078D">
      <w:pPr>
        <w:pStyle w:val="ListBullet2"/>
      </w:pPr>
      <w:r w:rsidRPr="00F2078D">
        <w:t>social and cultural determinants of health</w:t>
      </w:r>
    </w:p>
    <w:p w:rsidR="00000000" w:rsidRPr="00F2078D" w:rsidP="00F2078D">
      <w:pPr>
        <w:pStyle w:val="ListBullet2"/>
      </w:pPr>
      <w:r w:rsidRPr="00F2078D">
        <w:t>susceptible tooth surfaces</w:t>
      </w:r>
    </w:p>
    <w:p w:rsidR="00000000" w:rsidRPr="00F2078D" w:rsidP="00F2078D">
      <w:pPr>
        <w:pStyle w:val="ListBullet2"/>
      </w:pPr>
      <w:r w:rsidRPr="00F2078D">
        <w:t>transmission of bacteria particularly from family or carer to c</w:t>
      </w:r>
      <w:r w:rsidRPr="00F2078D">
        <w:t>hild</w:t>
      </w:r>
    </w:p>
    <w:p w:rsidR="00000000" w:rsidRPr="00F2078D" w:rsidP="00F2078D">
      <w:pPr>
        <w:pStyle w:val="ListBullet2"/>
      </w:pPr>
      <w:r w:rsidRPr="00F2078D">
        <w:t>teeth misalignment causing trauma to teeth</w:t>
      </w:r>
    </w:p>
    <w:p w:rsidR="00000000" w:rsidRPr="00F2078D" w:rsidP="00F2078D">
      <w:pPr>
        <w:pStyle w:val="ListBullet2"/>
      </w:pPr>
      <w:r w:rsidRPr="00F2078D">
        <w:t>trauma to the mouth as a result of an accident</w:t>
      </w:r>
    </w:p>
    <w:p w:rsidR="00000000" w:rsidRPr="00F2078D" w:rsidP="00F2078D">
      <w:pPr>
        <w:pStyle w:val="ListBullet"/>
      </w:pPr>
      <w:r w:rsidRPr="00F2078D">
        <w:t>healthy eating and drinking recommendations as identified in National Health and Medical Research Council’s (NHMRC) Australian dietary guidelines</w:t>
      </w:r>
    </w:p>
    <w:p w:rsidR="00000000" w:rsidRPr="00F2078D" w:rsidP="00F2078D">
      <w:pPr>
        <w:pStyle w:val="ListBullet"/>
      </w:pPr>
      <w:r w:rsidRPr="00F2078D">
        <w:t>processes to o</w:t>
      </w:r>
      <w:r w:rsidRPr="00F2078D">
        <w:t>btain feedback and evaluate health information sessions for future improvement.</w:t>
      </w:r>
    </w:p>
    <w:p w:rsidR="00000000" w:rsidRPr="00F2078D" w:rsidP="00F2078D">
      <w:pPr>
        <w:pStyle w:val="AllowPageBreak"/>
      </w:pPr>
    </w:p>
    <w:p w:rsidR="00000000" w:rsidRPr="00F2078D" w:rsidP="00F2078D">
      <w:pPr>
        <w:pStyle w:val="Heading1"/>
      </w:pPr>
      <w:bookmarkStart w:id="4" w:name="O_1200236"/>
      <w:bookmarkEnd w:id="4"/>
      <w:r w:rsidRPr="00F2078D">
        <w:t>Assessment Conditions</w:t>
      </w:r>
    </w:p>
    <w:p w:rsidR="00000000" w:rsidRPr="00F2078D" w:rsidP="00391E14">
      <w:pPr>
        <w:pStyle w:val="BodyText"/>
      </w:pPr>
      <w:r w:rsidRPr="00F2078D">
        <w:t>Skills must be demonstrated in the workplace or in a simulated environment that reflects workplace conditions. Where simulation is used</w:t>
      </w:r>
      <w:r w:rsidRPr="00F2078D">
        <w:t xml:space="preserve">, it must reflect real working conditions by modelling industry operating conditions and contingencies. </w:t>
      </w:r>
    </w:p>
    <w:p w:rsidR="00000000" w:rsidRPr="00F2078D" w:rsidP="00391E14">
      <w:pPr>
        <w:pStyle w:val="BodyText"/>
      </w:pPr>
      <w:r w:rsidRPr="00F2078D">
        <w:t>Assessment must ensure:</w:t>
      </w:r>
    </w:p>
    <w:p w:rsidR="00000000" w:rsidRPr="00F2078D" w:rsidP="00F2078D">
      <w:pPr>
        <w:pStyle w:val="ListBullet"/>
      </w:pPr>
      <w:r w:rsidRPr="00F2078D">
        <w:t>access to suitable facilities, equipment and resources including:</w:t>
      </w:r>
    </w:p>
    <w:p w:rsidR="00000000" w:rsidRPr="00F2078D" w:rsidP="00F2078D">
      <w:pPr>
        <w:pStyle w:val="ListBullet2"/>
      </w:pPr>
      <w:r w:rsidRPr="00F2078D">
        <w:t>credible sources of information on oral health</w:t>
      </w:r>
    </w:p>
    <w:p w:rsidR="00000000" w:rsidRPr="00F2078D" w:rsidP="00F2078D">
      <w:pPr>
        <w:pStyle w:val="ListBullet2"/>
      </w:pPr>
      <w:r w:rsidRPr="00F2078D">
        <w:t>oral health equipment and aids</w:t>
      </w:r>
    </w:p>
    <w:p w:rsidR="00000000" w:rsidRPr="00F2078D" w:rsidP="00F2078D">
      <w:pPr>
        <w:pStyle w:val="ListBullet2"/>
      </w:pPr>
      <w:r w:rsidRPr="00F2078D">
        <w:t>dentures</w:t>
      </w:r>
    </w:p>
    <w:p w:rsidR="00000000" w:rsidRPr="00F2078D" w:rsidP="00F2078D">
      <w:pPr>
        <w:pStyle w:val="ListBullet"/>
      </w:pPr>
      <w:r w:rsidRPr="00F2078D">
        <w:t>access to current Dental Board of Australia (DBA) infection control and record keeping guidelines</w:t>
      </w:r>
    </w:p>
    <w:p w:rsidR="00000000" w:rsidRPr="00F2078D" w:rsidP="00F2078D">
      <w:pPr>
        <w:pStyle w:val="ListBullet"/>
      </w:pPr>
      <w:r w:rsidRPr="00F2078D">
        <w:t>access to National Health and Medical Research Council’s (NHMRC) Australian dietary guidelines</w:t>
      </w:r>
    </w:p>
    <w:p w:rsidR="00000000" w:rsidRPr="00F2078D" w:rsidP="00F2078D">
      <w:pPr>
        <w:pStyle w:val="ListBullet"/>
      </w:pPr>
      <w:r w:rsidRPr="00F2078D">
        <w:t xml:space="preserve">modelling of industry </w:t>
      </w:r>
      <w:r w:rsidRPr="00F2078D">
        <w:t>operating conditions including access to people for simulations and scenarios in oral health care work</w:t>
      </w:r>
    </w:p>
    <w:p w:rsidR="00000000" w:rsidRPr="00F2078D" w:rsidP="00391E14">
      <w:pPr>
        <w:pStyle w:val="BodyText"/>
      </w:pPr>
      <w:r w:rsidRPr="00F2078D">
        <w:t>Assessors must satisfy the Standards for Registered Training Organisations’ requirements for assessors.</w:t>
      </w:r>
    </w:p>
    <w:p w:rsidR="00000000" w:rsidRPr="00F2078D" w:rsidP="00F2078D">
      <w:pPr>
        <w:pStyle w:val="Heading1"/>
      </w:pPr>
      <w:bookmarkStart w:id="5" w:name="O_1200250"/>
      <w:bookmarkEnd w:id="5"/>
      <w:r w:rsidRPr="00F2078D">
        <w:t>Links</w:t>
      </w:r>
    </w:p>
    <w:p w:rsidR="00000000" w:rsidRPr="00F2078D" w:rsidP="00391E14">
      <w:pPr>
        <w:pStyle w:val="BodyText"/>
      </w:pPr>
      <w:r w:rsidRPr="00F2078D">
        <w:t>Companion Volume impleme</w:t>
      </w:r>
      <w:r w:rsidRPr="00F2078D">
        <w:t xml:space="preserve">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D0087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2078D" w:rsidP="00F2078D"/>
    <w:sectPr w:rsidSect="00F207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7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78D" w:rsidRPr="00391E14" w:rsidP="00391E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7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E14" w:rsidP="00F207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1E14" w:rsidP="00F207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91E14" w:rsidP="00F207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7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E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078D" w:rsidRPr="00391E14" w:rsidP="00391E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7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E14" w:rsidRPr="002D2AF8" w:rsidP="00F207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HLTOHC008 Inform and support patients and groups about oral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91E14" w:rsidP="00F207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C030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EEE1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561A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7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07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07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07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07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07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07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07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07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07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07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078D"/>
  </w:style>
  <w:style w:type="character" w:customStyle="1" w:styleId="Heading1Char">
    <w:name w:val="Heading 1 Char"/>
    <w:basedOn w:val="DefaultParagraphFont"/>
    <w:link w:val="Heading1"/>
    <w:rsid w:val="00F207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07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07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078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078D"/>
    <w:rPr>
      <w:b/>
      <w:spacing w:val="0"/>
    </w:rPr>
  </w:style>
  <w:style w:type="paragraph" w:styleId="ListBullet2">
    <w:name w:val="List Bullet 2"/>
    <w:basedOn w:val="List2"/>
    <w:rsid w:val="00F207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07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07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07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07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07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07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07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07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07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07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07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07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07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07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07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07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07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07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07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07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07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07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07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07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07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07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07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07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07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07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07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07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07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07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078D"/>
    <w:rPr>
      <w:i/>
    </w:rPr>
  </w:style>
  <w:style w:type="paragraph" w:styleId="Caption">
    <w:name w:val="caption"/>
    <w:basedOn w:val="BodyText"/>
    <w:next w:val="Normal"/>
    <w:qFormat/>
    <w:rsid w:val="00F207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07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07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078D"/>
  </w:style>
  <w:style w:type="paragraph" w:styleId="TableofFigures">
    <w:name w:val="table of figures"/>
    <w:basedOn w:val="Normal"/>
    <w:next w:val="Normal"/>
    <w:semiHidden/>
    <w:rsid w:val="00F207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07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078D"/>
    <w:rPr>
      <w:rFonts w:ascii="Wingdings" w:hAnsi="Wingdings"/>
    </w:rPr>
  </w:style>
  <w:style w:type="paragraph" w:customStyle="1" w:styleId="TableHeading">
    <w:name w:val="Table Heading"/>
    <w:basedOn w:val="HeadingBase"/>
    <w:rsid w:val="00F207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078D"/>
    <w:rPr>
      <w:color w:val="0033CC"/>
      <w:u w:val="none"/>
    </w:rPr>
  </w:style>
  <w:style w:type="paragraph" w:customStyle="1" w:styleId="BodyTextRight">
    <w:name w:val="Body Text Right"/>
    <w:basedOn w:val="BodyText"/>
    <w:rsid w:val="00F207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07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07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07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07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07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078D"/>
    <w:rPr>
      <w:sz w:val="32"/>
    </w:rPr>
  </w:style>
  <w:style w:type="paragraph" w:customStyle="1" w:styleId="HeadingProcedure">
    <w:name w:val="Heading Procedure"/>
    <w:basedOn w:val="HeadingBase"/>
    <w:next w:val="Normal"/>
    <w:rsid w:val="00F207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078D"/>
    <w:pPr>
      <w:spacing w:before="60" w:after="60"/>
    </w:pPr>
  </w:style>
  <w:style w:type="paragraph" w:styleId="ListContinue">
    <w:name w:val="List Continue"/>
    <w:basedOn w:val="List"/>
    <w:rsid w:val="00F2078D"/>
    <w:pPr>
      <w:ind w:firstLine="0"/>
    </w:pPr>
  </w:style>
  <w:style w:type="paragraph" w:customStyle="1" w:styleId="ListNote">
    <w:name w:val="List Note"/>
    <w:basedOn w:val="List"/>
    <w:rsid w:val="00F207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07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07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078D"/>
    <w:rPr>
      <w:rFonts w:ascii="Courier New" w:hAnsi="Courier New"/>
    </w:rPr>
  </w:style>
  <w:style w:type="paragraph" w:customStyle="1" w:styleId="NoteBullet">
    <w:name w:val="Note Bullet"/>
    <w:basedOn w:val="Note"/>
    <w:rsid w:val="00F207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07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07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07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07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07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07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078D"/>
    <w:rPr>
      <w:b/>
      <w:smallCaps/>
    </w:rPr>
  </w:style>
  <w:style w:type="paragraph" w:customStyle="1" w:styleId="TableListNumber">
    <w:name w:val="Table List Number"/>
    <w:basedOn w:val="ListNumber"/>
    <w:rsid w:val="00F207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07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078D"/>
    <w:pPr>
      <w:numPr>
        <w:numId w:val="9"/>
      </w:numPr>
    </w:pPr>
  </w:style>
  <w:style w:type="paragraph" w:customStyle="1" w:styleId="ListAlpha2">
    <w:name w:val="List Alpha 2"/>
    <w:basedOn w:val="List2"/>
    <w:rsid w:val="00F2078D"/>
    <w:pPr>
      <w:numPr>
        <w:numId w:val="8"/>
      </w:numPr>
    </w:pPr>
  </w:style>
  <w:style w:type="paragraph" w:styleId="List2">
    <w:name w:val="List 2"/>
    <w:basedOn w:val="BodyText"/>
    <w:rsid w:val="00F207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07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07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07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07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07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078D"/>
    <w:pPr>
      <w:numPr>
        <w:numId w:val="4"/>
      </w:numPr>
    </w:pPr>
  </w:style>
  <w:style w:type="paragraph" w:styleId="ListContinue2">
    <w:name w:val="List Continue 2"/>
    <w:basedOn w:val="List2"/>
    <w:rsid w:val="00F2078D"/>
    <w:pPr>
      <w:ind w:firstLine="0"/>
    </w:pPr>
  </w:style>
  <w:style w:type="paragraph" w:styleId="ListContinue3">
    <w:name w:val="List Continue 3"/>
    <w:basedOn w:val="List3"/>
    <w:rsid w:val="00F2078D"/>
    <w:pPr>
      <w:ind w:left="1021" w:firstLine="0"/>
    </w:pPr>
  </w:style>
  <w:style w:type="paragraph" w:styleId="ListContinue4">
    <w:name w:val="List Continue 4"/>
    <w:basedOn w:val="List4"/>
    <w:rsid w:val="00F2078D"/>
    <w:pPr>
      <w:ind w:firstLine="0"/>
    </w:pPr>
  </w:style>
  <w:style w:type="paragraph" w:styleId="ListContinue5">
    <w:name w:val="List Continue 5"/>
    <w:basedOn w:val="List5"/>
    <w:rsid w:val="00F2078D"/>
    <w:pPr>
      <w:ind w:firstLine="0"/>
    </w:pPr>
  </w:style>
  <w:style w:type="paragraph" w:styleId="ListNumber3">
    <w:name w:val="List Number 3"/>
    <w:basedOn w:val="List3"/>
    <w:rsid w:val="00F2078D"/>
    <w:pPr>
      <w:numPr>
        <w:numId w:val="5"/>
      </w:numPr>
    </w:pPr>
  </w:style>
  <w:style w:type="paragraph" w:styleId="ListNumber4">
    <w:name w:val="List Number 4"/>
    <w:basedOn w:val="List4"/>
    <w:rsid w:val="00F2078D"/>
    <w:pPr>
      <w:numPr>
        <w:numId w:val="6"/>
      </w:numPr>
    </w:pPr>
  </w:style>
  <w:style w:type="paragraph" w:styleId="ListNumber5">
    <w:name w:val="List Number 5"/>
    <w:basedOn w:val="List5"/>
    <w:rsid w:val="00F2078D"/>
    <w:pPr>
      <w:numPr>
        <w:numId w:val="7"/>
      </w:numPr>
    </w:pPr>
  </w:style>
  <w:style w:type="paragraph" w:styleId="BlockText">
    <w:name w:val="Block Text"/>
    <w:basedOn w:val="Normal"/>
    <w:rsid w:val="00F207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07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078D"/>
    <w:rPr>
      <w:sz w:val="16"/>
      <w:vertAlign w:val="superscript"/>
    </w:rPr>
  </w:style>
  <w:style w:type="character" w:customStyle="1" w:styleId="Symbols">
    <w:name w:val="Symbols"/>
    <w:basedOn w:val="DefaultParagraphFont"/>
    <w:rsid w:val="00F2078D"/>
    <w:rPr>
      <w:rFonts w:ascii="Symbol" w:hAnsi="Symbol"/>
    </w:rPr>
  </w:style>
  <w:style w:type="character" w:customStyle="1" w:styleId="MenuOptions">
    <w:name w:val="Menu Options"/>
    <w:basedOn w:val="DefaultParagraphFont"/>
    <w:rsid w:val="00F207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078D"/>
    <w:rPr>
      <w:b/>
    </w:rPr>
  </w:style>
  <w:style w:type="character" w:customStyle="1" w:styleId="Underlined">
    <w:name w:val="Underlined"/>
    <w:basedOn w:val="DefaultParagraphFont"/>
    <w:rsid w:val="00F2078D"/>
    <w:rPr>
      <w:u w:val="single"/>
    </w:rPr>
  </w:style>
  <w:style w:type="paragraph" w:customStyle="1" w:styleId="TableBodyTextRight">
    <w:name w:val="Table Body Text Right"/>
    <w:basedOn w:val="TableBodyText"/>
    <w:rsid w:val="00F207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078D"/>
    <w:rPr>
      <w:sz w:val="18"/>
    </w:rPr>
  </w:style>
  <w:style w:type="paragraph" w:customStyle="1" w:styleId="BodySmallRight">
    <w:name w:val="Body Small Right"/>
    <w:basedOn w:val="BodyTextRight"/>
    <w:rsid w:val="00F2078D"/>
    <w:rPr>
      <w:sz w:val="18"/>
      <w:szCs w:val="18"/>
    </w:rPr>
  </w:style>
  <w:style w:type="paragraph" w:customStyle="1" w:styleId="MarginEdition">
    <w:name w:val="Margin Edition"/>
    <w:basedOn w:val="MarginNote"/>
    <w:rsid w:val="00F207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078D"/>
    <w:rPr>
      <w:sz w:val="2"/>
      <w:szCs w:val="2"/>
    </w:rPr>
  </w:style>
  <w:style w:type="character" w:customStyle="1" w:styleId="Small">
    <w:name w:val="Small"/>
    <w:basedOn w:val="DefaultParagraphFont"/>
    <w:rsid w:val="00F2078D"/>
    <w:rPr>
      <w:sz w:val="16"/>
    </w:rPr>
  </w:style>
  <w:style w:type="paragraph" w:customStyle="1" w:styleId="WideTable">
    <w:name w:val="Wide Table"/>
    <w:basedOn w:val="Normal"/>
    <w:rsid w:val="00F207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078D"/>
  </w:style>
  <w:style w:type="paragraph" w:styleId="Quote">
    <w:name w:val="Quote"/>
    <w:basedOn w:val="Heading1"/>
    <w:link w:val="QuoteChar"/>
    <w:qFormat/>
    <w:rsid w:val="00F207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07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078D"/>
    <w:pPr>
      <w:pageBreakBefore/>
    </w:pPr>
  </w:style>
  <w:style w:type="paragraph" w:customStyle="1" w:styleId="Border">
    <w:name w:val="Border"/>
    <w:basedOn w:val="Normal"/>
    <w:qFormat/>
    <w:rsid w:val="00F207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07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7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7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07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07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07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07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07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078D"/>
    <w:rPr>
      <w:u w:val="single"/>
    </w:rPr>
  </w:style>
  <w:style w:type="character" w:customStyle="1" w:styleId="BoldandItalics">
    <w:name w:val="Bold and Italics"/>
    <w:qFormat/>
    <w:rsid w:val="00F2078D"/>
    <w:rPr>
      <w:b/>
      <w:i/>
      <w:u w:val="none"/>
    </w:rPr>
  </w:style>
  <w:style w:type="paragraph" w:styleId="BalloonText">
    <w:name w:val="Balloon Text"/>
    <w:basedOn w:val="Normal"/>
    <w:link w:val="BalloonTextChar"/>
    <w:rsid w:val="00F207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07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07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07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07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07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078D"/>
    <w:pPr>
      <w:spacing w:before="0" w:after="0"/>
    </w:pPr>
  </w:style>
  <w:style w:type="paragraph" w:customStyle="1" w:styleId="BodyTextBold">
    <w:name w:val="Body Text Bold"/>
    <w:basedOn w:val="BodyText"/>
    <w:qFormat/>
    <w:rsid w:val="00F2078D"/>
    <w:rPr>
      <w:b/>
    </w:rPr>
  </w:style>
  <w:style w:type="character" w:styleId="Hyperlink">
    <w:name w:val="Hyperlink"/>
    <w:basedOn w:val="DefaultParagraphFont"/>
    <w:uiPriority w:val="99"/>
    <w:unhideWhenUsed/>
    <w:rsid w:val="00391E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680</Words>
  <Characters>4230</Characters>
  <Application>Microsoft Office Word</Application>
  <DocSecurity>0</DocSecurity>
  <Lines>114</Lines>
  <Paragraphs>90</Paragraphs>
  <ScaleCrop>false</ScaleCrop>
  <Company>Author-it Software Corporation Ltd.</Company>
  <LinksUpToDate>false</LinksUpToDate>
  <CharactersWithSpaces>4820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HLTOHC008 Inform and support patients and groups about oral health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2023-07-02T01:38:00Z</dcterms:created>
  <dcterms:modified xsi:type="dcterms:W3CDTF">2023-07-02T01:38:00Z</dcterms:modified>
</cp:coreProperties>
</file>