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1C81" w:rsidP="00571C81">
      <w:pPr>
        <w:pStyle w:val="Title"/>
      </w:pPr>
      <w:r>
        <w:fldChar w:fldCharType="begin"/>
      </w:r>
      <w:r>
        <w:instrText xml:space="preserve"> TITLE   \* MERGEFORMAT </w:instrText>
      </w:r>
      <w:r>
        <w:fldChar w:fldCharType="separate"/>
      </w:r>
      <w:r>
        <w:t>Assessment Requirements for HLTOHC007 Recognise and respond to oral health issues</w:t>
      </w:r>
      <w:r>
        <w:fldChar w:fldCharType="end"/>
      </w:r>
    </w:p>
    <w:p w:rsidR="00571C81" w:rsidP="00571C81">
      <w:pPr>
        <w:pStyle w:val="Version"/>
        <w:sectPr w:rsidSect="000C28D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C28D5" w:rsidP="000C28D5">
      <w:pPr>
        <w:pStyle w:val="SuperHeading"/>
      </w:pPr>
      <w:r w:rsidRPr="000C28D5">
        <w:t>Assessment Requirements for HLTOHC007 Recognise and respond to oral health issues</w:t>
      </w:r>
    </w:p>
    <w:p w:rsidR="00000000" w:rsidRPr="000C28D5" w:rsidP="000C28D5">
      <w:pPr>
        <w:pStyle w:val="Heading1"/>
      </w:pPr>
      <w:bookmarkStart w:id="1" w:name="O_1200256"/>
      <w:bookmarkEnd w:id="1"/>
      <w:r w:rsidRPr="000C28D5">
        <w:t>Modification History</w:t>
      </w:r>
    </w:p>
    <w:tbl>
      <w:tblPr>
        <w:tblW w:w="0" w:type="auto"/>
        <w:tblLayout w:type="fixed"/>
        <w:tblCellMar>
          <w:left w:w="62" w:type="dxa"/>
          <w:right w:w="62" w:type="dxa"/>
        </w:tblCellMar>
        <w:tblLook w:val="0000"/>
      </w:tblPr>
      <w:tblGrid>
        <w:gridCol w:w="3040"/>
        <w:gridCol w:w="6074"/>
      </w:tblGrid>
      <w:tr w:rsidTr="000C28D5">
        <w:tblPrEx>
          <w:tblW w:w="0" w:type="auto"/>
          <w:tblLayout w:type="fixed"/>
          <w:tblCellMar>
            <w:left w:w="62" w:type="dxa"/>
            <w:right w:w="62" w:type="dxa"/>
          </w:tblCellMar>
          <w:tblLook w:val="0000"/>
        </w:tblPrEx>
        <w:tc>
          <w:tcPr>
            <w:tcW w:w="304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RPr="000C28D5" w:rsidP="000C28D5">
            <w:pPr>
              <w:pStyle w:val="BodyText"/>
            </w:pPr>
            <w:r w:rsidRPr="000C28D5">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vAlign w:val="center"/>
          </w:tcPr>
          <w:p w:rsidR="00000000" w:rsidP="000C28D5">
            <w:pPr>
              <w:pStyle w:val="BodyText"/>
              <w:rPr>
                <w:lang w:val="en-NZ"/>
              </w:rPr>
            </w:pPr>
            <w:r w:rsidRPr="000C28D5">
              <w:rPr>
                <w:rStyle w:val="SpecialBold"/>
              </w:rPr>
              <w:t>Comments</w:t>
            </w:r>
          </w:p>
        </w:tc>
      </w:tr>
      <w:tr w:rsidTr="000C28D5">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0C28D5">
            <w:pPr>
              <w:pStyle w:val="BodyText"/>
              <w:rPr>
                <w:lang w:val="en-NZ"/>
              </w:rPr>
            </w:pPr>
            <w:r w:rsidRPr="000C28D5">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0C28D5" w:rsidP="000C28D5">
            <w:pPr>
              <w:pStyle w:val="BodyText"/>
            </w:pPr>
            <w:r w:rsidRPr="000C28D5">
              <w:t>Release 2 HLTOHC007 Recognise and respond to oral health issues supersedes and is equivalent to Release 1 HLTOHC007 Recognise and respond to oral health issues.</w:t>
            </w:r>
          </w:p>
          <w:p w:rsidR="00000000" w:rsidRPr="000C28D5" w:rsidP="000C28D5">
            <w:pPr>
              <w:pStyle w:val="BodyText"/>
            </w:pPr>
            <w:r w:rsidRPr="000C28D5">
              <w:t>Updated:</w:t>
            </w:r>
          </w:p>
          <w:p w:rsidR="00000000" w:rsidP="000C28D5">
            <w:pPr>
              <w:pStyle w:val="BodyText"/>
              <w:rPr>
                <w:lang w:val="en-NZ"/>
              </w:rPr>
            </w:pPr>
            <w:r w:rsidRPr="000C28D5">
              <w:t>Mapping details and minor corrections.</w:t>
            </w:r>
          </w:p>
        </w:tc>
      </w:tr>
      <w:tr w:rsidTr="000C28D5">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0C28D5">
            <w:pPr>
              <w:pStyle w:val="BodyText"/>
              <w:rPr>
                <w:lang w:val="en-NZ"/>
              </w:rPr>
            </w:pPr>
            <w:r w:rsidRPr="000C28D5">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0C28D5" w:rsidP="000C28D5">
            <w:pPr>
              <w:pStyle w:val="BodyText"/>
            </w:pPr>
            <w:r w:rsidRPr="000C28D5">
              <w:t>HLTOHC007 Recognise and respond to o</w:t>
            </w:r>
            <w:r w:rsidRPr="000C28D5">
              <w:t>ral health issues supersedes and is not equivalent to HLTOHC001 Recognise and respond to oral health issues. </w:t>
            </w:r>
          </w:p>
        </w:tc>
      </w:tr>
    </w:tbl>
    <w:p w:rsidR="00000000" w:rsidRPr="000C28D5" w:rsidP="000C28D5">
      <w:pPr>
        <w:pStyle w:val="BodyText"/>
      </w:pPr>
    </w:p>
    <w:p w:rsidR="00000000" w:rsidRPr="000C28D5" w:rsidP="000C28D5">
      <w:pPr>
        <w:pStyle w:val="AllowPageBreak"/>
      </w:pPr>
    </w:p>
    <w:p w:rsidR="00000000" w:rsidRPr="000C28D5" w:rsidP="000C28D5">
      <w:pPr>
        <w:pStyle w:val="Heading1"/>
      </w:pPr>
      <w:bookmarkStart w:id="2" w:name="O_1200255"/>
      <w:bookmarkEnd w:id="2"/>
      <w:r w:rsidRPr="000C28D5">
        <w:t>Performance Evidence</w:t>
      </w:r>
    </w:p>
    <w:p w:rsidR="00000000" w:rsidRPr="000C28D5" w:rsidP="00571C81">
      <w:pPr>
        <w:pStyle w:val="BodyText"/>
      </w:pPr>
      <w:r w:rsidRPr="000C28D5">
        <w:t>Evidence of the ability to complete tasks outlined in elements and performance criteria of this unit in the context of the job role, and:</w:t>
      </w:r>
    </w:p>
    <w:p w:rsidR="00000000" w:rsidRPr="000C28D5" w:rsidP="000C28D5">
      <w:pPr>
        <w:pStyle w:val="ListBullet"/>
      </w:pPr>
      <w:r w:rsidRPr="000C28D5">
        <w:t>perform a visual oral health check on five different patients, including:</w:t>
      </w:r>
    </w:p>
    <w:p w:rsidR="00000000" w:rsidRPr="000C28D5" w:rsidP="000C28D5">
      <w:pPr>
        <w:pStyle w:val="ListBullet2"/>
      </w:pPr>
      <w:r w:rsidRPr="000C28D5">
        <w:t>identifying any signs and symptoms related</w:t>
      </w:r>
      <w:r w:rsidRPr="000C28D5">
        <w:t xml:space="preserve"> to oral health care issues</w:t>
      </w:r>
    </w:p>
    <w:p w:rsidR="00000000" w:rsidRPr="000C28D5" w:rsidP="000C28D5">
      <w:pPr>
        <w:pStyle w:val="ListBullet2"/>
      </w:pPr>
      <w:r w:rsidRPr="000C28D5">
        <w:t>gathering relevant information from visual check and questioning to initiate appropriate follow up oral health care</w:t>
      </w:r>
    </w:p>
    <w:p w:rsidR="00000000" w:rsidRPr="000C28D5" w:rsidP="000C28D5">
      <w:pPr>
        <w:pStyle w:val="ListBullet2"/>
      </w:pPr>
      <w:r w:rsidRPr="000C28D5">
        <w:t>using safe manual handling techniques as required when working with patients with special care needs.</w:t>
      </w:r>
    </w:p>
    <w:p w:rsidR="00000000" w:rsidRPr="000C28D5" w:rsidP="000C28D5">
      <w:pPr>
        <w:pStyle w:val="AllowPageBreak"/>
      </w:pPr>
    </w:p>
    <w:p w:rsidR="00000000" w:rsidRPr="000C28D5" w:rsidP="000C28D5">
      <w:pPr>
        <w:pStyle w:val="Heading1"/>
      </w:pPr>
      <w:bookmarkStart w:id="3" w:name="O_1200254"/>
      <w:bookmarkEnd w:id="3"/>
      <w:r w:rsidRPr="000C28D5">
        <w:t>Knowledge Evidence</w:t>
      </w:r>
    </w:p>
    <w:p w:rsidR="00000000" w:rsidRPr="000C28D5" w:rsidP="00571C81">
      <w:pPr>
        <w:pStyle w:val="BodyText"/>
      </w:pPr>
      <w:r w:rsidRPr="000C28D5">
        <w:t>Demonstrated knowledge required to complete the tasks outlined in elements and performance criteria of this unit:</w:t>
      </w:r>
    </w:p>
    <w:p w:rsidR="00000000" w:rsidRPr="000C28D5" w:rsidP="000C28D5">
      <w:pPr>
        <w:pStyle w:val="ListBullet"/>
      </w:pPr>
      <w:r w:rsidRPr="000C28D5">
        <w:t>basic anatomy and physiology underpinning oral health, including what is considered healthy and unhealthy</w:t>
      </w:r>
    </w:p>
    <w:p w:rsidR="00000000" w:rsidRPr="000C28D5" w:rsidP="000C28D5">
      <w:pPr>
        <w:pStyle w:val="ListBullet"/>
      </w:pPr>
      <w:r w:rsidRPr="000C28D5">
        <w:t>patient</w:t>
      </w:r>
      <w:r w:rsidRPr="000C28D5">
        <w:t xml:space="preserve"> behaviour and habits which contribute to oral health issues</w:t>
      </w:r>
    </w:p>
    <w:p w:rsidR="00000000" w:rsidRPr="000C28D5" w:rsidP="000C28D5">
      <w:pPr>
        <w:pStyle w:val="ListBullet"/>
      </w:pPr>
      <w:r w:rsidRPr="000C28D5">
        <w:t>causes and prevention of tooth decay, gum disease and tooth wear, including erosion, abrasion and attrition</w:t>
      </w:r>
    </w:p>
    <w:p w:rsidR="00000000" w:rsidRPr="000C28D5" w:rsidP="000C28D5">
      <w:pPr>
        <w:pStyle w:val="ListBullet"/>
      </w:pPr>
      <w:r w:rsidRPr="000C28D5">
        <w:t>effective self-care practices for oral health including cause, control and prevention o</w:t>
      </w:r>
      <w:r w:rsidRPr="000C28D5">
        <w:t>f dental plaque</w:t>
      </w:r>
    </w:p>
    <w:p w:rsidR="00000000" w:rsidRPr="000C28D5" w:rsidP="000C28D5">
      <w:pPr>
        <w:pStyle w:val="ListBullet"/>
      </w:pPr>
      <w:r w:rsidRPr="000C28D5">
        <w:t>State or Territory and national government policy and programs and reporting processes for oral health accessibility to services, including availability of private and public oral health services, including eligibility for services.</w:t>
      </w:r>
    </w:p>
    <w:p w:rsidR="00000000" w:rsidRPr="000C28D5" w:rsidP="000C28D5">
      <w:pPr>
        <w:pStyle w:val="ListBullet"/>
      </w:pPr>
      <w:r w:rsidRPr="000C28D5">
        <w:t>role of oral health professionals</w:t>
      </w:r>
    </w:p>
    <w:p w:rsidR="00000000" w:rsidRPr="000C28D5" w:rsidP="000C28D5">
      <w:pPr>
        <w:pStyle w:val="ListBullet"/>
      </w:pPr>
      <w:r w:rsidRPr="000C28D5">
        <w:t>factors that impact on oral health, including:</w:t>
      </w:r>
    </w:p>
    <w:p w:rsidR="00000000" w:rsidRPr="000C28D5" w:rsidP="000C28D5">
      <w:pPr>
        <w:pStyle w:val="ListBullet2"/>
      </w:pPr>
      <w:r w:rsidRPr="000C28D5">
        <w:t>abuse including neglect of oral health needs</w:t>
      </w:r>
    </w:p>
    <w:p w:rsidR="00000000" w:rsidRPr="000C28D5" w:rsidP="000C28D5">
      <w:pPr>
        <w:pStyle w:val="ListBullet2"/>
      </w:pPr>
      <w:r w:rsidRPr="000C28D5">
        <w:t>access to dental and health services</w:t>
      </w:r>
    </w:p>
    <w:p w:rsidR="00000000" w:rsidRPr="000C28D5" w:rsidP="000C28D5">
      <w:pPr>
        <w:pStyle w:val="ListBullet2"/>
      </w:pPr>
      <w:r w:rsidRPr="000C28D5">
        <w:t>alcohol, licit and illicit drugs and substances, over the counter and herbal treatments</w:t>
      </w:r>
    </w:p>
    <w:p w:rsidR="00000000" w:rsidRPr="000C28D5" w:rsidP="000C28D5">
      <w:pPr>
        <w:pStyle w:val="ListBullet2"/>
      </w:pPr>
      <w:r w:rsidRPr="000C28D5">
        <w:t>corr</w:t>
      </w:r>
      <w:r w:rsidRPr="000C28D5">
        <w:t>ect infant feeding practices</w:t>
      </w:r>
    </w:p>
    <w:p w:rsidR="00000000" w:rsidRPr="000C28D5" w:rsidP="000C28D5">
      <w:pPr>
        <w:pStyle w:val="ListBullet2"/>
      </w:pPr>
      <w:r w:rsidRPr="000C28D5">
        <w:t>damage from habitual grinding of teeth</w:t>
      </w:r>
    </w:p>
    <w:p w:rsidR="00000000" w:rsidRPr="000C28D5" w:rsidP="000C28D5">
      <w:pPr>
        <w:pStyle w:val="ListBullet2"/>
      </w:pPr>
      <w:r w:rsidRPr="000C28D5">
        <w:t>diet and nutrition, including fluids and excessive intake of sugar</w:t>
      </w:r>
    </w:p>
    <w:p w:rsidR="00000000" w:rsidRPr="000C28D5" w:rsidP="000C28D5">
      <w:pPr>
        <w:pStyle w:val="ListBullet2"/>
      </w:pPr>
      <w:r w:rsidRPr="000C28D5">
        <w:t>fluoride</w:t>
      </w:r>
    </w:p>
    <w:p w:rsidR="00000000" w:rsidRPr="000C28D5" w:rsidP="000C28D5">
      <w:pPr>
        <w:pStyle w:val="ListBullet2"/>
      </w:pPr>
      <w:r w:rsidRPr="000C28D5">
        <w:t>general health and wellbeing</w:t>
      </w:r>
    </w:p>
    <w:p w:rsidR="00000000" w:rsidRPr="000C28D5" w:rsidP="000C28D5">
      <w:pPr>
        <w:pStyle w:val="ListBullet2"/>
      </w:pPr>
      <w:r w:rsidRPr="000C28D5">
        <w:t>immunosuppressant conditions, HIV, chemotherapy and radiation</w:t>
      </w:r>
    </w:p>
    <w:p w:rsidR="00000000" w:rsidRPr="000C28D5" w:rsidP="000C28D5">
      <w:pPr>
        <w:pStyle w:val="ListBullet2"/>
      </w:pPr>
      <w:r w:rsidRPr="000C28D5">
        <w:t>injury to mouth, incl</w:t>
      </w:r>
      <w:r w:rsidRPr="000C28D5">
        <w:t>uding from a seizure</w:t>
      </w:r>
    </w:p>
    <w:p w:rsidR="00000000" w:rsidRPr="000C28D5" w:rsidP="000C28D5">
      <w:pPr>
        <w:pStyle w:val="ListBullet2"/>
      </w:pPr>
      <w:r w:rsidRPr="000C28D5">
        <w:t>medical history</w:t>
      </w:r>
    </w:p>
    <w:p w:rsidR="00000000" w:rsidRPr="000C28D5" w:rsidP="000C28D5">
      <w:pPr>
        <w:pStyle w:val="ListBullet2"/>
      </w:pPr>
      <w:r w:rsidRPr="000C28D5">
        <w:t>oral piercings</w:t>
      </w:r>
    </w:p>
    <w:p w:rsidR="00000000" w:rsidRPr="000C28D5" w:rsidP="000C28D5">
      <w:pPr>
        <w:pStyle w:val="ListBullet2"/>
      </w:pPr>
      <w:r w:rsidRPr="000C28D5">
        <w:t>patient oral health information</w:t>
      </w:r>
    </w:p>
    <w:p w:rsidR="00000000" w:rsidRPr="000C28D5" w:rsidP="000C28D5">
      <w:pPr>
        <w:pStyle w:val="ListBullet2"/>
      </w:pPr>
      <w:r w:rsidRPr="000C28D5">
        <w:t>presence of plaque and calculus</w:t>
      </w:r>
    </w:p>
    <w:p w:rsidR="00000000" w:rsidRPr="000C28D5" w:rsidP="000C28D5">
      <w:pPr>
        <w:pStyle w:val="ListBullet2"/>
      </w:pPr>
      <w:r w:rsidRPr="000C28D5">
        <w:t>psychological issues, including fear of being seen without dentures or persisting with ill-fitting dentures for satisfaction of others</w:t>
      </w:r>
    </w:p>
    <w:p w:rsidR="00000000" w:rsidRPr="000C28D5" w:rsidP="000C28D5">
      <w:pPr>
        <w:pStyle w:val="ListBullet2"/>
      </w:pPr>
      <w:r w:rsidRPr="000C28D5">
        <w:t>salivary function</w:t>
      </w:r>
    </w:p>
    <w:p w:rsidR="00000000" w:rsidRPr="000C28D5" w:rsidP="000C28D5">
      <w:pPr>
        <w:pStyle w:val="ListBullet2"/>
      </w:pPr>
      <w:r w:rsidRPr="000C28D5">
        <w:t>smoking</w:t>
      </w:r>
    </w:p>
    <w:p w:rsidR="00000000" w:rsidRPr="000C28D5" w:rsidP="000C28D5">
      <w:pPr>
        <w:pStyle w:val="ListBullet2"/>
      </w:pPr>
      <w:r w:rsidRPr="000C28D5">
        <w:t>social and cultural determinants of health</w:t>
      </w:r>
    </w:p>
    <w:p w:rsidR="00000000" w:rsidRPr="000C28D5" w:rsidP="000C28D5">
      <w:pPr>
        <w:pStyle w:val="ListBullet2"/>
      </w:pPr>
      <w:r w:rsidRPr="000C28D5">
        <w:t xml:space="preserve">susceptible tooth surfaces </w:t>
      </w:r>
    </w:p>
    <w:p w:rsidR="00000000" w:rsidRPr="000C28D5" w:rsidP="000C28D5">
      <w:pPr>
        <w:pStyle w:val="ListBullet2"/>
      </w:pPr>
      <w:r w:rsidRPr="000C28D5">
        <w:t>transmission of bacteria particularly from family or carer to child</w:t>
      </w:r>
    </w:p>
    <w:p w:rsidR="00000000" w:rsidRPr="000C28D5" w:rsidP="000C28D5">
      <w:pPr>
        <w:pStyle w:val="ListBullet2"/>
      </w:pPr>
      <w:r w:rsidRPr="000C28D5">
        <w:t>teeth misalignment causing trauma to teeth</w:t>
      </w:r>
    </w:p>
    <w:p w:rsidR="00000000" w:rsidRPr="000C28D5" w:rsidP="000C28D5">
      <w:pPr>
        <w:pStyle w:val="ListBullet2"/>
      </w:pPr>
      <w:r w:rsidRPr="000C28D5">
        <w:t>trauma to mouth as a result of an accident</w:t>
      </w:r>
    </w:p>
    <w:p w:rsidR="00000000" w:rsidRPr="000C28D5" w:rsidP="000C28D5">
      <w:pPr>
        <w:pStyle w:val="ListBullet"/>
      </w:pPr>
      <w:r w:rsidRPr="000C28D5">
        <w:t>comm</w:t>
      </w:r>
      <w:r w:rsidRPr="000C28D5">
        <w:t>unication strategies that focus on patient needs including mental health and disabilities</w:t>
      </w:r>
    </w:p>
    <w:p w:rsidR="00000000" w:rsidRPr="000C28D5" w:rsidP="000C28D5">
      <w:pPr>
        <w:pStyle w:val="ListBullet"/>
      </w:pPr>
      <w:r w:rsidRPr="000C28D5">
        <w:t>safe manual handling techniques</w:t>
      </w:r>
    </w:p>
    <w:p w:rsidR="00000000" w:rsidRPr="000C28D5" w:rsidP="000C28D5">
      <w:pPr>
        <w:pStyle w:val="ListBullet"/>
      </w:pPr>
      <w:r w:rsidRPr="000C28D5">
        <w:t>organisational policies and procedures for:</w:t>
      </w:r>
    </w:p>
    <w:p w:rsidR="00000000" w:rsidRPr="000C28D5" w:rsidP="000C28D5">
      <w:pPr>
        <w:pStyle w:val="ListBullet2"/>
      </w:pPr>
      <w:r w:rsidRPr="000C28D5">
        <w:t>patient privacy</w:t>
      </w:r>
    </w:p>
    <w:p w:rsidR="00000000" w:rsidRPr="000C28D5" w:rsidP="000C28D5">
      <w:pPr>
        <w:pStyle w:val="ListBullet2"/>
      </w:pPr>
      <w:r w:rsidRPr="000C28D5">
        <w:t>confidentiality of patient information and disclosure</w:t>
      </w:r>
    </w:p>
    <w:p w:rsidR="00000000" w:rsidRPr="000C28D5" w:rsidP="000C28D5">
      <w:pPr>
        <w:pStyle w:val="ListBullet2"/>
      </w:pPr>
      <w:r w:rsidRPr="000C28D5">
        <w:t>documentation and reporting</w:t>
      </w:r>
    </w:p>
    <w:p w:rsidR="00000000" w:rsidRPr="000C28D5" w:rsidP="000C28D5">
      <w:pPr>
        <w:pStyle w:val="ListBullet"/>
      </w:pPr>
      <w:r w:rsidRPr="000C28D5">
        <w:t>healthy eating recommendations as identified in the National Health and Medical Research Council’s (NHMRC) Australian dietary guidelines.</w:t>
      </w:r>
    </w:p>
    <w:p w:rsidR="00000000" w:rsidRPr="000C28D5" w:rsidP="000C28D5">
      <w:pPr>
        <w:pStyle w:val="AllowPageBreak"/>
      </w:pPr>
    </w:p>
    <w:p w:rsidR="00000000" w:rsidRPr="000C28D5" w:rsidP="000C28D5">
      <w:pPr>
        <w:pStyle w:val="Heading1"/>
      </w:pPr>
      <w:bookmarkStart w:id="4" w:name="O_1200253"/>
      <w:bookmarkEnd w:id="4"/>
      <w:r w:rsidRPr="000C28D5">
        <w:t>Assessment Conditions</w:t>
      </w:r>
    </w:p>
    <w:p w:rsidR="00000000" w:rsidRPr="000C28D5" w:rsidP="00571C81">
      <w:pPr>
        <w:pStyle w:val="BodyText"/>
      </w:pPr>
      <w:r w:rsidRPr="000C28D5">
        <w:t>Skills must be demonstrated in the workplace wit</w:t>
      </w:r>
      <w:r w:rsidRPr="000C28D5">
        <w:t xml:space="preserve">h the addition of simulations and scenarios where the full range of contexts and situations cannot be provided in the workplace or may occur only rarely. </w:t>
      </w:r>
    </w:p>
    <w:p w:rsidR="00000000" w:rsidRPr="000C28D5" w:rsidP="00571C81">
      <w:pPr>
        <w:pStyle w:val="BodyText"/>
      </w:pPr>
      <w:r w:rsidRPr="000C28D5">
        <w:t>The following aspect of the performance evidence must have been demonstrated using ten simulation sce</w:t>
      </w:r>
      <w:r w:rsidRPr="000C28D5">
        <w:t>narios prior to demonstration in the workplace or with members of the general public:</w:t>
      </w:r>
    </w:p>
    <w:p w:rsidR="00000000" w:rsidRPr="000C28D5" w:rsidP="000C28D5">
      <w:pPr>
        <w:pStyle w:val="ListBullet"/>
      </w:pPr>
      <w:r w:rsidRPr="000C28D5">
        <w:t>performing a visual oral health check</w:t>
      </w:r>
    </w:p>
    <w:p w:rsidR="00000000" w:rsidRPr="000C28D5" w:rsidP="00571C81">
      <w:pPr>
        <w:pStyle w:val="BodyText"/>
      </w:pPr>
      <w:r w:rsidRPr="000C28D5">
        <w:t>Assessment must ensure:</w:t>
      </w:r>
    </w:p>
    <w:p w:rsidR="00000000" w:rsidRPr="000C28D5" w:rsidP="000C28D5">
      <w:pPr>
        <w:pStyle w:val="ListBullet"/>
      </w:pPr>
      <w:r w:rsidRPr="000C28D5">
        <w:t xml:space="preserve">access to suitable equipment and resources, including: </w:t>
      </w:r>
    </w:p>
    <w:p w:rsidR="00000000" w:rsidRPr="000C28D5" w:rsidP="000C28D5">
      <w:pPr>
        <w:pStyle w:val="ListBullet2"/>
      </w:pPr>
      <w:r w:rsidRPr="000C28D5">
        <w:t>appropriate personal protective equipment (PPE)</w:t>
      </w:r>
    </w:p>
    <w:p w:rsidR="00000000" w:rsidRPr="000C28D5" w:rsidP="000C28D5">
      <w:pPr>
        <w:pStyle w:val="ListBullet"/>
      </w:pPr>
      <w:r w:rsidRPr="000C28D5">
        <w:t>access to current Dental board of Australia (DBA) and Australian Health Practitioner Regulation Agency (AHPRA) guidelines and practice standards</w:t>
      </w:r>
    </w:p>
    <w:p w:rsidR="00000000" w:rsidRPr="000C28D5" w:rsidP="000C28D5">
      <w:pPr>
        <w:pStyle w:val="ListBullet"/>
      </w:pPr>
      <w:r w:rsidRPr="000C28D5">
        <w:t>access to current Dental Board of Australia (DBA) infection control and record keeping guidelines</w:t>
      </w:r>
    </w:p>
    <w:p w:rsidR="00000000" w:rsidRPr="000C28D5" w:rsidP="000C28D5">
      <w:pPr>
        <w:pStyle w:val="ListBullet"/>
      </w:pPr>
      <w:r w:rsidRPr="000C28D5">
        <w:t>access to Nat</w:t>
      </w:r>
      <w:r w:rsidRPr="000C28D5">
        <w:t>ional Health and Medical Research Council’s (NHMRC) Australian dietary guidelines</w:t>
      </w:r>
    </w:p>
    <w:p w:rsidR="00000000" w:rsidRPr="000C28D5" w:rsidP="000C28D5">
      <w:pPr>
        <w:pStyle w:val="ListBullet"/>
      </w:pPr>
      <w:r w:rsidRPr="000C28D5">
        <w:t>access to organisational policies and procedures for:</w:t>
      </w:r>
    </w:p>
    <w:p w:rsidR="00000000" w:rsidRPr="000C28D5" w:rsidP="000C28D5">
      <w:pPr>
        <w:pStyle w:val="ListBullet2"/>
      </w:pPr>
      <w:r w:rsidRPr="000C28D5">
        <w:t>patient privacy</w:t>
      </w:r>
    </w:p>
    <w:p w:rsidR="00000000" w:rsidRPr="000C28D5" w:rsidP="000C28D5">
      <w:pPr>
        <w:pStyle w:val="ListBullet2"/>
      </w:pPr>
      <w:r w:rsidRPr="000C28D5">
        <w:t>confidentiality of patient information and disclosure</w:t>
      </w:r>
    </w:p>
    <w:p w:rsidR="00000000" w:rsidRPr="000C28D5" w:rsidP="000C28D5">
      <w:pPr>
        <w:pStyle w:val="ListBullet2"/>
      </w:pPr>
      <w:r w:rsidRPr="000C28D5">
        <w:t>documentation and reporting</w:t>
      </w:r>
    </w:p>
    <w:p w:rsidR="00000000" w:rsidRPr="000C28D5" w:rsidP="000C28D5">
      <w:pPr>
        <w:pStyle w:val="ListBullet"/>
      </w:pPr>
      <w:r w:rsidRPr="000C28D5">
        <w:t>modelling of industry operating conditions including access to people for simulations and scenarios in oral health care work.</w:t>
      </w:r>
    </w:p>
    <w:p w:rsidR="00000000" w:rsidRPr="000C28D5" w:rsidP="00571C81">
      <w:pPr>
        <w:pStyle w:val="BodyText"/>
      </w:pPr>
      <w:r w:rsidRPr="000C28D5">
        <w:t>Assessors must satisfy the Standards for Registered Training Organisations’ requirements for assessors.</w:t>
      </w:r>
    </w:p>
    <w:p w:rsidR="00000000" w:rsidRPr="000C28D5" w:rsidP="000C28D5">
      <w:pPr>
        <w:pStyle w:val="Heading1"/>
      </w:pPr>
      <w:bookmarkStart w:id="5" w:name="O_1200267"/>
      <w:bookmarkEnd w:id="5"/>
      <w:r w:rsidRPr="000C28D5">
        <w:t>Links</w:t>
      </w:r>
    </w:p>
    <w:p w:rsidR="00000000" w:rsidRPr="000C28D5" w:rsidP="00571C81">
      <w:pPr>
        <w:pStyle w:val="BodyText"/>
      </w:pPr>
      <w:r w:rsidRPr="000C28D5">
        <w:t>C</w:t>
      </w:r>
      <w:r w:rsidRPr="000C28D5">
        <w:t xml:space="preserve">ompanion Volume implementation guides are found in VETNet - </w:t>
      </w:r>
      <w:r>
        <w:fldChar w:fldCharType="begin"/>
      </w:r>
      <w:r>
        <w:instrText xml:space="preserve"> HYPERLINK "https://vetnet.gov.au/Pages/TrainingDocs.aspx?q=ced1390f-48d9-4ab0-bd50-b015e5485705" </w:instrText>
      </w:r>
      <w:r>
        <w:fldChar w:fldCharType="separate"/>
      </w:r>
      <w:r w:rsidRPr="001846B0">
        <w:rPr>
          <w:rStyle w:val="Hyperlink"/>
        </w:rPr>
        <w:t>https://vetnet.gov.au/Pages/TrainingDocs.aspx?q=ced1390f-48d9-4ab0-bd50-b015e5485705</w:t>
      </w:r>
      <w:r>
        <w:fldChar w:fldCharType="end"/>
      </w:r>
    </w:p>
    <w:p w:rsidR="00000000" w:rsidRPr="000C28D5" w:rsidP="000C28D5"/>
    <w:sectPr w:rsidSect="000C28D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8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8D5" w:rsidRPr="00571C81" w:rsidP="00571C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8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C81" w:rsidP="000C28D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71C81" w:rsidP="000C28D5">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571C81" w:rsidP="000C28D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8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C8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C28D5" w:rsidRPr="00571C81" w:rsidP="00571C8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8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C81" w:rsidRPr="002D2AF8" w:rsidP="000C28D5">
    <w:pPr>
      <w:pStyle w:val="Header"/>
      <w:framePr w:wrap="around"/>
    </w:pPr>
    <w:r>
      <w:fldChar w:fldCharType="begin"/>
    </w:r>
    <w:r>
      <w:instrText xml:space="preserve"> TITLE   \* MERGEFORMAT </w:instrText>
    </w:r>
    <w:r>
      <w:fldChar w:fldCharType="separate"/>
    </w:r>
    <w:r>
      <w:t>Assessment Requirements for HLTOHC007 Recognise and respond to oral health issues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571C81" w:rsidP="000C28D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3C291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03023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F1A07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28D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C28D5"/>
    <w:pPr>
      <w:spacing w:before="360" w:after="60"/>
      <w:outlineLvl w:val="0"/>
    </w:pPr>
    <w:rPr>
      <w:sz w:val="32"/>
    </w:rPr>
  </w:style>
  <w:style w:type="paragraph" w:styleId="Heading2">
    <w:name w:val="heading 2"/>
    <w:basedOn w:val="HeadingBase"/>
    <w:next w:val="BodyText"/>
    <w:link w:val="Heading2Char"/>
    <w:qFormat/>
    <w:rsid w:val="000C28D5"/>
    <w:pPr>
      <w:keepLines/>
      <w:spacing w:before="240" w:after="120"/>
      <w:outlineLvl w:val="1"/>
    </w:pPr>
    <w:rPr>
      <w:sz w:val="28"/>
      <w:szCs w:val="40"/>
    </w:rPr>
  </w:style>
  <w:style w:type="paragraph" w:styleId="Heading3">
    <w:name w:val="heading 3"/>
    <w:basedOn w:val="HeadingBase"/>
    <w:next w:val="BodyText"/>
    <w:link w:val="Heading3Char"/>
    <w:qFormat/>
    <w:rsid w:val="000C28D5"/>
    <w:pPr>
      <w:spacing w:before="180" w:after="120"/>
      <w:outlineLvl w:val="2"/>
    </w:pPr>
    <w:rPr>
      <w:spacing w:val="-10"/>
      <w:kern w:val="32"/>
    </w:rPr>
  </w:style>
  <w:style w:type="paragraph" w:styleId="Heading4">
    <w:name w:val="heading 4"/>
    <w:basedOn w:val="HeadingBase"/>
    <w:next w:val="BodyText"/>
    <w:link w:val="Heading4Char"/>
    <w:qFormat/>
    <w:rsid w:val="000C28D5"/>
    <w:pPr>
      <w:spacing w:before="160" w:after="120"/>
      <w:outlineLvl w:val="3"/>
    </w:pPr>
    <w:rPr>
      <w:sz w:val="22"/>
    </w:rPr>
  </w:style>
  <w:style w:type="paragraph" w:styleId="Heading5">
    <w:name w:val="heading 5"/>
    <w:basedOn w:val="HeadingBase"/>
    <w:next w:val="Normal"/>
    <w:link w:val="Heading5Char"/>
    <w:qFormat/>
    <w:rsid w:val="000C28D5"/>
    <w:pPr>
      <w:spacing w:before="80"/>
      <w:outlineLvl w:val="4"/>
    </w:pPr>
    <w:rPr>
      <w:color w:val="918585"/>
      <w:sz w:val="20"/>
    </w:rPr>
  </w:style>
  <w:style w:type="paragraph" w:styleId="Heading6">
    <w:name w:val="heading 6"/>
    <w:basedOn w:val="HeadingBase"/>
    <w:next w:val="Normal"/>
    <w:link w:val="Heading6Char"/>
    <w:qFormat/>
    <w:rsid w:val="000C28D5"/>
    <w:pPr>
      <w:spacing w:before="60"/>
      <w:outlineLvl w:val="5"/>
    </w:pPr>
    <w:rPr>
      <w:color w:val="918585"/>
      <w:sz w:val="20"/>
    </w:rPr>
  </w:style>
  <w:style w:type="paragraph" w:styleId="Heading7">
    <w:name w:val="heading 7"/>
    <w:basedOn w:val="Normal"/>
    <w:next w:val="Normal"/>
    <w:link w:val="Heading7Char"/>
    <w:qFormat/>
    <w:rsid w:val="000C28D5"/>
    <w:pPr>
      <w:ind w:left="720"/>
      <w:outlineLvl w:val="6"/>
    </w:pPr>
    <w:rPr>
      <w:i/>
    </w:rPr>
  </w:style>
  <w:style w:type="paragraph" w:styleId="Heading8">
    <w:name w:val="heading 8"/>
    <w:basedOn w:val="Normal"/>
    <w:next w:val="Normal"/>
    <w:link w:val="Heading8Char"/>
    <w:qFormat/>
    <w:rsid w:val="000C28D5"/>
    <w:pPr>
      <w:ind w:left="720"/>
      <w:outlineLvl w:val="7"/>
    </w:pPr>
    <w:rPr>
      <w:i/>
    </w:rPr>
  </w:style>
  <w:style w:type="paragraph" w:styleId="Heading9">
    <w:name w:val="heading 9"/>
    <w:basedOn w:val="Normal"/>
    <w:next w:val="Normal"/>
    <w:link w:val="Heading9Char"/>
    <w:qFormat/>
    <w:rsid w:val="000C28D5"/>
    <w:pPr>
      <w:ind w:left="720"/>
      <w:outlineLvl w:val="8"/>
    </w:pPr>
    <w:rPr>
      <w:i/>
    </w:rPr>
  </w:style>
  <w:style w:type="character" w:default="1" w:styleId="DefaultParagraphFont">
    <w:name w:val="Default Paragraph Font"/>
    <w:uiPriority w:val="1"/>
    <w:unhideWhenUsed/>
    <w:rsid w:val="000C28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28D5"/>
  </w:style>
  <w:style w:type="character" w:customStyle="1" w:styleId="Heading1Char">
    <w:name w:val="Heading 1 Char"/>
    <w:basedOn w:val="DefaultParagraphFont"/>
    <w:link w:val="Heading1"/>
    <w:rsid w:val="000C28D5"/>
    <w:rPr>
      <w:rFonts w:ascii="Times New Roman" w:eastAsia="Times New Roman" w:hAnsi="Times New Roman" w:cs="Times New Roman"/>
      <w:b/>
      <w:sz w:val="32"/>
      <w:szCs w:val="20"/>
      <w:lang w:eastAsia="en-US"/>
    </w:rPr>
  </w:style>
  <w:style w:type="paragraph" w:styleId="BodyText">
    <w:name w:val="Body Text"/>
    <w:basedOn w:val="Normal"/>
    <w:link w:val="BodyTextChar"/>
    <w:rsid w:val="000C28D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C28D5"/>
    <w:rPr>
      <w:rFonts w:ascii="Times New Roman" w:eastAsia="Times New Roman" w:hAnsi="Times New Roman" w:cs="Times New Roman"/>
      <w:sz w:val="24"/>
      <w:lang w:eastAsia="en-US"/>
    </w:rPr>
  </w:style>
  <w:style w:type="paragraph" w:styleId="ListBullet">
    <w:name w:val="List Bullet"/>
    <w:basedOn w:val="List"/>
    <w:rsid w:val="000C28D5"/>
    <w:pPr>
      <w:numPr>
        <w:numId w:val="12"/>
      </w:numPr>
      <w:tabs>
        <w:tab w:val="clear" w:pos="340"/>
      </w:tabs>
      <w:spacing w:before="40" w:after="40"/>
    </w:pPr>
  </w:style>
  <w:style w:type="character" w:customStyle="1" w:styleId="SpecialBold">
    <w:name w:val="Special Bold"/>
    <w:basedOn w:val="DefaultParagraphFont"/>
    <w:rsid w:val="000C28D5"/>
    <w:rPr>
      <w:b/>
      <w:spacing w:val="0"/>
    </w:rPr>
  </w:style>
  <w:style w:type="paragraph" w:styleId="ListBullet2">
    <w:name w:val="List Bullet 2"/>
    <w:basedOn w:val="List2"/>
    <w:rsid w:val="000C28D5"/>
    <w:pPr>
      <w:numPr>
        <w:numId w:val="13"/>
      </w:numPr>
      <w:tabs>
        <w:tab w:val="clear" w:pos="680"/>
      </w:tabs>
    </w:pPr>
  </w:style>
  <w:style w:type="paragraph" w:customStyle="1" w:styleId="SuperHeading">
    <w:name w:val="SuperHeading"/>
    <w:basedOn w:val="Normal"/>
    <w:rsid w:val="000C28D5"/>
    <w:pPr>
      <w:spacing w:before="240" w:after="120"/>
      <w:outlineLvl w:val="0"/>
    </w:pPr>
    <w:rPr>
      <w:rFonts w:ascii="Times New Roman" w:hAnsi="Times New Roman"/>
      <w:b/>
      <w:sz w:val="32"/>
    </w:rPr>
  </w:style>
  <w:style w:type="paragraph" w:customStyle="1" w:styleId="AllowPageBreak">
    <w:name w:val="AllowPageBreak"/>
    <w:rsid w:val="000C28D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C28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28D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28D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28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28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28D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C28D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C28D5"/>
    <w:rPr>
      <w:rFonts w:ascii="Courier New" w:eastAsia="Times New Roman" w:hAnsi="Courier New" w:cs="Times New Roman"/>
      <w:i/>
      <w:szCs w:val="20"/>
      <w:lang w:eastAsia="en-US"/>
    </w:rPr>
  </w:style>
  <w:style w:type="paragraph" w:customStyle="1" w:styleId="HeadingBase">
    <w:name w:val="Heading Base"/>
    <w:rsid w:val="000C28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28D5"/>
    <w:pPr>
      <w:tabs>
        <w:tab w:val="right" w:leader="dot" w:pos="9072"/>
      </w:tabs>
      <w:ind w:left="567"/>
    </w:pPr>
    <w:rPr>
      <w:szCs w:val="22"/>
    </w:rPr>
  </w:style>
  <w:style w:type="paragraph" w:customStyle="1" w:styleId="TOCBase">
    <w:name w:val="TOC Base"/>
    <w:rsid w:val="000C28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28D5"/>
    <w:pPr>
      <w:tabs>
        <w:tab w:val="right" w:leader="dot" w:pos="9072"/>
      </w:tabs>
      <w:spacing w:before="40" w:after="40"/>
      <w:ind w:left="284"/>
    </w:pPr>
    <w:rPr>
      <w:rFonts w:ascii="Times New Roman" w:hAnsi="Times New Roman"/>
    </w:rPr>
  </w:style>
  <w:style w:type="paragraph" w:styleId="TOC1">
    <w:name w:val="toc 1"/>
    <w:basedOn w:val="TOCBase"/>
    <w:next w:val="Normal"/>
    <w:rsid w:val="000C28D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C28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28D5"/>
    <w:rPr>
      <w:rFonts w:ascii="Times New Roman" w:eastAsia="Times New Roman" w:hAnsi="Times New Roman" w:cs="Times New Roman"/>
      <w:sz w:val="16"/>
      <w:lang w:eastAsia="en-US"/>
    </w:rPr>
  </w:style>
  <w:style w:type="paragraph" w:styleId="Title">
    <w:name w:val="Title"/>
    <w:basedOn w:val="HeadingBase"/>
    <w:link w:val="TitleChar"/>
    <w:qFormat/>
    <w:rsid w:val="000C28D5"/>
    <w:pPr>
      <w:spacing w:before="5040"/>
      <w:jc w:val="center"/>
    </w:pPr>
    <w:rPr>
      <w:sz w:val="48"/>
      <w:szCs w:val="72"/>
      <w:lang w:val="en-US"/>
    </w:rPr>
  </w:style>
  <w:style w:type="character" w:customStyle="1" w:styleId="TitleChar">
    <w:name w:val="Title Char"/>
    <w:basedOn w:val="DefaultParagraphFont"/>
    <w:link w:val="Title"/>
    <w:rsid w:val="000C28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28D5"/>
    <w:pPr>
      <w:tabs>
        <w:tab w:val="left" w:pos="3600"/>
        <w:tab w:val="left" w:pos="3958"/>
      </w:tabs>
    </w:pPr>
  </w:style>
  <w:style w:type="paragraph" w:styleId="List">
    <w:name w:val="List"/>
    <w:basedOn w:val="BodyText"/>
    <w:next w:val="BodyText"/>
    <w:rsid w:val="000C28D5"/>
    <w:pPr>
      <w:tabs>
        <w:tab w:val="left" w:pos="340"/>
      </w:tabs>
      <w:spacing w:before="60" w:after="60"/>
      <w:ind w:left="340" w:hanging="340"/>
    </w:pPr>
  </w:style>
  <w:style w:type="paragraph" w:customStyle="1" w:styleId="Note">
    <w:name w:val="Note"/>
    <w:basedOn w:val="BodyText"/>
    <w:rsid w:val="000C28D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28D5"/>
    <w:pPr>
      <w:framePr w:wrap="auto" w:hAnchor="text" w:y="6049"/>
    </w:pPr>
    <w:rPr>
      <w:color w:val="000000"/>
      <w:sz w:val="40"/>
    </w:rPr>
  </w:style>
  <w:style w:type="paragraph" w:customStyle="1" w:styleId="TOCTitle">
    <w:name w:val="TOCTitle"/>
    <w:basedOn w:val="Heading1"/>
    <w:rsid w:val="000C28D5"/>
    <w:pPr>
      <w:spacing w:after="240"/>
      <w:jc w:val="center"/>
      <w:outlineLvl w:val="9"/>
    </w:pPr>
    <w:rPr>
      <w:caps/>
    </w:rPr>
  </w:style>
  <w:style w:type="paragraph" w:customStyle="1" w:styleId="Version">
    <w:name w:val="Version"/>
    <w:rsid w:val="000C28D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C28D5"/>
    <w:pPr>
      <w:keepNext w:val="0"/>
      <w:tabs>
        <w:tab w:val="right" w:pos="4176"/>
      </w:tabs>
      <w:ind w:left="198" w:hanging="198"/>
    </w:pPr>
    <w:rPr>
      <w:rFonts w:ascii="Garamond" w:hAnsi="Garamond"/>
    </w:rPr>
  </w:style>
  <w:style w:type="paragraph" w:styleId="IndexHeading">
    <w:name w:val="index heading"/>
    <w:basedOn w:val="Normal"/>
    <w:next w:val="Index1"/>
    <w:semiHidden/>
    <w:rsid w:val="000C28D5"/>
    <w:pPr>
      <w:spacing w:before="120" w:after="120"/>
    </w:pPr>
    <w:rPr>
      <w:rFonts w:ascii="Arial" w:hAnsi="Arial"/>
      <w:b/>
      <w:color w:val="918585"/>
      <w:sz w:val="24"/>
    </w:rPr>
  </w:style>
  <w:style w:type="paragraph" w:styleId="Header">
    <w:name w:val="header"/>
    <w:basedOn w:val="Normal"/>
    <w:link w:val="HeaderChar"/>
    <w:rsid w:val="000C28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28D5"/>
    <w:rPr>
      <w:rFonts w:ascii="Times New Roman" w:eastAsia="Times New Roman" w:hAnsi="Times New Roman" w:cs="Times New Roman"/>
      <w:sz w:val="16"/>
      <w:szCs w:val="20"/>
      <w:lang w:val="en-GB" w:eastAsia="en-US"/>
    </w:rPr>
  </w:style>
  <w:style w:type="paragraph" w:customStyle="1" w:styleId="Chapter">
    <w:name w:val="Chapter"/>
    <w:basedOn w:val="Normal"/>
    <w:rsid w:val="000C28D5"/>
    <w:pPr>
      <w:spacing w:before="240"/>
    </w:pPr>
    <w:rPr>
      <w:rFonts w:ascii="Times New Roman" w:hAnsi="Times New Roman"/>
      <w:smallCaps/>
      <w:spacing w:val="80"/>
      <w:sz w:val="28"/>
    </w:rPr>
  </w:style>
  <w:style w:type="paragraph" w:customStyle="1" w:styleId="InChapter">
    <w:name w:val="InChapter"/>
    <w:basedOn w:val="Heading3"/>
    <w:rsid w:val="000C28D5"/>
    <w:pPr>
      <w:spacing w:after="240"/>
      <w:outlineLvl w:val="9"/>
    </w:pPr>
    <w:rPr>
      <w:noProof/>
    </w:rPr>
  </w:style>
  <w:style w:type="paragraph" w:styleId="Index2">
    <w:name w:val="index 2"/>
    <w:basedOn w:val="Normal"/>
    <w:next w:val="Normal"/>
    <w:semiHidden/>
    <w:rsid w:val="000C28D5"/>
    <w:pPr>
      <w:tabs>
        <w:tab w:val="right" w:pos="4176"/>
      </w:tabs>
      <w:ind w:left="568" w:hanging="284"/>
    </w:pPr>
    <w:rPr>
      <w:rFonts w:ascii="Garamond" w:hAnsi="Garamond"/>
    </w:rPr>
  </w:style>
  <w:style w:type="paragraph" w:customStyle="1" w:styleId="Byline">
    <w:name w:val="Byline"/>
    <w:rsid w:val="000C28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28D5"/>
    <w:pPr>
      <w:tabs>
        <w:tab w:val="clear" w:pos="3600"/>
        <w:tab w:val="clear" w:pos="3958"/>
      </w:tabs>
      <w:jc w:val="right"/>
    </w:pPr>
  </w:style>
  <w:style w:type="character" w:styleId="Emphasis">
    <w:name w:val="Emphasis"/>
    <w:basedOn w:val="DefaultParagraphFont"/>
    <w:qFormat/>
    <w:rsid w:val="000C28D5"/>
    <w:rPr>
      <w:i/>
    </w:rPr>
  </w:style>
  <w:style w:type="paragraph" w:styleId="Caption">
    <w:name w:val="caption"/>
    <w:basedOn w:val="BodyText"/>
    <w:next w:val="Normal"/>
    <w:qFormat/>
    <w:rsid w:val="000C28D5"/>
    <w:pPr>
      <w:framePr w:w="2268" w:hSpace="181" w:vSpace="181" w:wrap="around" w:vAnchor="text" w:hAnchor="page" w:x="1135" w:y="285" w:anchorLock="1"/>
    </w:pPr>
    <w:rPr>
      <w:i/>
    </w:rPr>
  </w:style>
  <w:style w:type="paragraph" w:customStyle="1" w:styleId="MiniTOCTitle">
    <w:name w:val="MiniTOCTitle"/>
    <w:basedOn w:val="Heading4"/>
    <w:rsid w:val="000C28D5"/>
    <w:pPr>
      <w:spacing w:before="240"/>
      <w:outlineLvl w:val="9"/>
    </w:pPr>
    <w:rPr>
      <w:noProof/>
      <w:sz w:val="24"/>
    </w:rPr>
  </w:style>
  <w:style w:type="paragraph" w:customStyle="1" w:styleId="MiniTOCItem">
    <w:name w:val="MiniTOCItem"/>
    <w:basedOn w:val="ListBullet"/>
    <w:rsid w:val="000C28D5"/>
    <w:pPr>
      <w:numPr>
        <w:numId w:val="0"/>
      </w:numPr>
      <w:tabs>
        <w:tab w:val="right" w:leader="dot" w:pos="6521"/>
      </w:tabs>
      <w:spacing w:before="0" w:after="0"/>
    </w:pPr>
  </w:style>
  <w:style w:type="paragraph" w:customStyle="1" w:styleId="TOFTitle">
    <w:name w:val="TOFTitle"/>
    <w:basedOn w:val="TOCTitle"/>
    <w:rsid w:val="000C28D5"/>
  </w:style>
  <w:style w:type="paragraph" w:styleId="TableofFigures">
    <w:name w:val="table of figures"/>
    <w:basedOn w:val="Normal"/>
    <w:next w:val="Normal"/>
    <w:semiHidden/>
    <w:rsid w:val="000C28D5"/>
    <w:pPr>
      <w:tabs>
        <w:tab w:val="right" w:leader="dot" w:pos="9072"/>
      </w:tabs>
      <w:ind w:left="970" w:hanging="403"/>
    </w:pPr>
    <w:rPr>
      <w:rFonts w:ascii="Times New Roman" w:hAnsi="Times New Roman"/>
      <w:b/>
    </w:rPr>
  </w:style>
  <w:style w:type="paragraph" w:styleId="ListNumber">
    <w:name w:val="List Number"/>
    <w:basedOn w:val="List"/>
    <w:rsid w:val="000C28D5"/>
    <w:pPr>
      <w:numPr>
        <w:numId w:val="15"/>
      </w:numPr>
      <w:tabs>
        <w:tab w:val="clear" w:pos="340"/>
      </w:tabs>
    </w:pPr>
  </w:style>
  <w:style w:type="character" w:customStyle="1" w:styleId="WingdingSymbols">
    <w:name w:val="Wingding Symbols"/>
    <w:rsid w:val="000C28D5"/>
    <w:rPr>
      <w:rFonts w:ascii="Wingdings" w:hAnsi="Wingdings"/>
    </w:rPr>
  </w:style>
  <w:style w:type="paragraph" w:customStyle="1" w:styleId="TableHeading">
    <w:name w:val="Table Heading"/>
    <w:basedOn w:val="HeadingBase"/>
    <w:rsid w:val="000C28D5"/>
    <w:pPr>
      <w:keepLines/>
      <w:pBdr>
        <w:bottom w:val="single" w:sz="6" w:space="1" w:color="918585"/>
      </w:pBdr>
      <w:spacing w:before="240"/>
    </w:pPr>
  </w:style>
  <w:style w:type="character" w:customStyle="1" w:styleId="HotSpot">
    <w:name w:val="HotSpot"/>
    <w:rsid w:val="000C28D5"/>
    <w:rPr>
      <w:color w:val="0033CC"/>
      <w:u w:val="none"/>
    </w:rPr>
  </w:style>
  <w:style w:type="paragraph" w:customStyle="1" w:styleId="BodyTextRight">
    <w:name w:val="Body Text Right"/>
    <w:basedOn w:val="BodyText"/>
    <w:rsid w:val="000C28D5"/>
    <w:pPr>
      <w:spacing w:before="0" w:after="0"/>
      <w:jc w:val="right"/>
    </w:pPr>
  </w:style>
  <w:style w:type="paragraph" w:styleId="Index3">
    <w:name w:val="index 3"/>
    <w:basedOn w:val="ListNumber2"/>
    <w:next w:val="Normal"/>
    <w:semiHidden/>
    <w:rsid w:val="000C28D5"/>
    <w:pPr>
      <w:numPr>
        <w:numId w:val="0"/>
      </w:numPr>
      <w:tabs>
        <w:tab w:val="right" w:leader="dot" w:pos="4176"/>
      </w:tabs>
    </w:pPr>
  </w:style>
  <w:style w:type="paragraph" w:styleId="ListNumber2">
    <w:name w:val="List Number 2"/>
    <w:basedOn w:val="List2"/>
    <w:rsid w:val="000C28D5"/>
    <w:pPr>
      <w:numPr>
        <w:numId w:val="10"/>
      </w:numPr>
      <w:tabs>
        <w:tab w:val="clear" w:pos="1060"/>
      </w:tabs>
    </w:pPr>
  </w:style>
  <w:style w:type="paragraph" w:customStyle="1" w:styleId="MarginNote">
    <w:name w:val="Margin Note"/>
    <w:basedOn w:val="BodyText"/>
    <w:rsid w:val="000C28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28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28D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C28D5"/>
    <w:rPr>
      <w:sz w:val="32"/>
    </w:rPr>
  </w:style>
  <w:style w:type="paragraph" w:customStyle="1" w:styleId="HeadingProcedure">
    <w:name w:val="Heading Procedure"/>
    <w:basedOn w:val="HeadingBase"/>
    <w:next w:val="Normal"/>
    <w:rsid w:val="000C28D5"/>
    <w:pPr>
      <w:tabs>
        <w:tab w:val="left" w:pos="0"/>
      </w:tabs>
      <w:spacing w:before="120" w:after="60"/>
    </w:pPr>
    <w:rPr>
      <w:i/>
      <w:color w:val="918585"/>
      <w:sz w:val="22"/>
    </w:rPr>
  </w:style>
  <w:style w:type="paragraph" w:customStyle="1" w:styleId="TableBodyText">
    <w:name w:val="Table Body Text"/>
    <w:basedOn w:val="BodyText"/>
    <w:rsid w:val="000C28D5"/>
    <w:pPr>
      <w:spacing w:before="60" w:after="60"/>
    </w:pPr>
  </w:style>
  <w:style w:type="paragraph" w:styleId="ListContinue">
    <w:name w:val="List Continue"/>
    <w:basedOn w:val="List"/>
    <w:rsid w:val="000C28D5"/>
    <w:pPr>
      <w:ind w:firstLine="0"/>
    </w:pPr>
  </w:style>
  <w:style w:type="paragraph" w:customStyle="1" w:styleId="ListNote">
    <w:name w:val="List Note"/>
    <w:basedOn w:val="List"/>
    <w:rsid w:val="000C28D5"/>
    <w:pPr>
      <w:pBdr>
        <w:top w:val="single" w:sz="6" w:space="2" w:color="918585"/>
        <w:bottom w:val="single" w:sz="6" w:space="2" w:color="918585"/>
      </w:pBdr>
      <w:tabs>
        <w:tab w:val="left" w:pos="1021"/>
      </w:tabs>
      <w:ind w:firstLine="0"/>
    </w:pPr>
  </w:style>
  <w:style w:type="paragraph" w:customStyle="1" w:styleId="Warning">
    <w:name w:val="Warning"/>
    <w:basedOn w:val="BodyText"/>
    <w:rsid w:val="000C28D5"/>
    <w:pPr>
      <w:shd w:val="clear" w:color="auto" w:fill="D9D9D9"/>
      <w:tabs>
        <w:tab w:val="left" w:pos="992"/>
      </w:tabs>
      <w:ind w:left="119" w:right="119"/>
    </w:pPr>
    <w:rPr>
      <w:sz w:val="20"/>
    </w:rPr>
  </w:style>
  <w:style w:type="paragraph" w:customStyle="1" w:styleId="MarginIcons">
    <w:name w:val="Margin Icons"/>
    <w:basedOn w:val="BodyText"/>
    <w:rsid w:val="000C28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28D5"/>
    <w:rPr>
      <w:rFonts w:ascii="Courier New" w:hAnsi="Courier New"/>
    </w:rPr>
  </w:style>
  <w:style w:type="paragraph" w:customStyle="1" w:styleId="NoteBullet">
    <w:name w:val="Note Bullet"/>
    <w:basedOn w:val="Note"/>
    <w:rsid w:val="000C28D5"/>
    <w:pPr>
      <w:tabs>
        <w:tab w:val="clear" w:pos="680"/>
      </w:tabs>
      <w:spacing w:before="60" w:after="60"/>
    </w:pPr>
  </w:style>
  <w:style w:type="paragraph" w:customStyle="1" w:styleId="SubHeading2">
    <w:name w:val="SubHeading2"/>
    <w:basedOn w:val="HeadingBase"/>
    <w:rsid w:val="000C28D5"/>
    <w:pPr>
      <w:spacing w:before="240" w:after="60"/>
    </w:pPr>
    <w:rPr>
      <w:sz w:val="20"/>
    </w:rPr>
  </w:style>
  <w:style w:type="paragraph" w:customStyle="1" w:styleId="SubHeading1">
    <w:name w:val="SubHeading1"/>
    <w:basedOn w:val="HeadingBase"/>
    <w:rsid w:val="000C28D5"/>
    <w:pPr>
      <w:spacing w:before="240" w:after="60"/>
    </w:pPr>
    <w:rPr>
      <w:color w:val="918585"/>
      <w:sz w:val="22"/>
    </w:rPr>
  </w:style>
  <w:style w:type="paragraph" w:customStyle="1" w:styleId="SideHeading">
    <w:name w:val="Side Heading"/>
    <w:basedOn w:val="HeadingBase"/>
    <w:rsid w:val="000C28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28D5"/>
    <w:pPr>
      <w:tabs>
        <w:tab w:val="num" w:pos="360"/>
      </w:tabs>
    </w:pPr>
  </w:style>
  <w:style w:type="paragraph" w:styleId="PlainText">
    <w:name w:val="Plain Text"/>
    <w:basedOn w:val="Normal"/>
    <w:link w:val="PlainTextChar"/>
    <w:rsid w:val="000C28D5"/>
    <w:rPr>
      <w:sz w:val="20"/>
    </w:rPr>
  </w:style>
  <w:style w:type="character" w:customStyle="1" w:styleId="PlainTextChar">
    <w:name w:val="Plain Text Char"/>
    <w:basedOn w:val="DefaultParagraphFont"/>
    <w:link w:val="PlainText"/>
    <w:rsid w:val="000C28D5"/>
    <w:rPr>
      <w:rFonts w:ascii="Courier New" w:eastAsia="Times New Roman" w:hAnsi="Courier New" w:cs="Times New Roman"/>
      <w:sz w:val="20"/>
      <w:szCs w:val="20"/>
      <w:lang w:eastAsia="en-US"/>
    </w:rPr>
  </w:style>
  <w:style w:type="character" w:customStyle="1" w:styleId="MenuOption">
    <w:name w:val="Menu Option"/>
    <w:basedOn w:val="DefaultParagraphFont"/>
    <w:rsid w:val="000C28D5"/>
    <w:rPr>
      <w:b/>
      <w:smallCaps/>
    </w:rPr>
  </w:style>
  <w:style w:type="paragraph" w:customStyle="1" w:styleId="TableListNumber">
    <w:name w:val="Table List Number"/>
    <w:basedOn w:val="ListNumber"/>
    <w:rsid w:val="000C28D5"/>
    <w:pPr>
      <w:numPr>
        <w:numId w:val="0"/>
      </w:numPr>
    </w:pPr>
  </w:style>
  <w:style w:type="paragraph" w:styleId="TOC4">
    <w:name w:val="toc 4"/>
    <w:basedOn w:val="TOCBase"/>
    <w:next w:val="Normal"/>
    <w:semiHidden/>
    <w:rsid w:val="000C28D5"/>
    <w:pPr>
      <w:tabs>
        <w:tab w:val="right" w:leader="dot" w:pos="9071"/>
      </w:tabs>
      <w:ind w:left="1701"/>
    </w:pPr>
  </w:style>
  <w:style w:type="paragraph" w:customStyle="1" w:styleId="ListAlpha">
    <w:name w:val="List Alpha"/>
    <w:basedOn w:val="List"/>
    <w:rsid w:val="000C28D5"/>
    <w:pPr>
      <w:numPr>
        <w:numId w:val="9"/>
      </w:numPr>
    </w:pPr>
  </w:style>
  <w:style w:type="paragraph" w:customStyle="1" w:styleId="ListAlpha2">
    <w:name w:val="List Alpha 2"/>
    <w:basedOn w:val="List2"/>
    <w:rsid w:val="000C28D5"/>
    <w:pPr>
      <w:numPr>
        <w:numId w:val="8"/>
      </w:numPr>
    </w:pPr>
  </w:style>
  <w:style w:type="paragraph" w:styleId="List2">
    <w:name w:val="List 2"/>
    <w:basedOn w:val="BodyText"/>
    <w:rsid w:val="000C28D5"/>
    <w:pPr>
      <w:tabs>
        <w:tab w:val="left" w:pos="680"/>
      </w:tabs>
      <w:spacing w:before="60" w:after="60"/>
      <w:ind w:left="680" w:hanging="340"/>
    </w:pPr>
  </w:style>
  <w:style w:type="paragraph" w:styleId="List3">
    <w:name w:val="List 3"/>
    <w:basedOn w:val="BodyText"/>
    <w:rsid w:val="000C28D5"/>
    <w:pPr>
      <w:tabs>
        <w:tab w:val="left" w:pos="1021"/>
      </w:tabs>
      <w:spacing w:before="60" w:after="60"/>
      <w:ind w:left="1020" w:hanging="340"/>
    </w:pPr>
  </w:style>
  <w:style w:type="paragraph" w:styleId="List4">
    <w:name w:val="List 4"/>
    <w:basedOn w:val="BodyText"/>
    <w:rsid w:val="000C28D5"/>
    <w:pPr>
      <w:tabs>
        <w:tab w:val="left" w:pos="1361"/>
      </w:tabs>
      <w:spacing w:before="60" w:after="60"/>
      <w:ind w:left="1361" w:hanging="340"/>
    </w:pPr>
  </w:style>
  <w:style w:type="paragraph" w:styleId="List5">
    <w:name w:val="List 5"/>
    <w:basedOn w:val="BodyText"/>
    <w:rsid w:val="000C28D5"/>
    <w:pPr>
      <w:tabs>
        <w:tab w:val="left" w:pos="1701"/>
      </w:tabs>
      <w:spacing w:before="60" w:after="60"/>
      <w:ind w:left="1701" w:hanging="340"/>
    </w:pPr>
  </w:style>
  <w:style w:type="paragraph" w:styleId="ListBullet3">
    <w:name w:val="List Bullet 3"/>
    <w:basedOn w:val="List3"/>
    <w:rsid w:val="000C28D5"/>
    <w:pPr>
      <w:numPr>
        <w:numId w:val="14"/>
      </w:numPr>
      <w:tabs>
        <w:tab w:val="clear" w:pos="1021"/>
      </w:tabs>
      <w:ind w:left="1037" w:hanging="357"/>
    </w:pPr>
  </w:style>
  <w:style w:type="paragraph" w:styleId="ListBullet4">
    <w:name w:val="List Bullet 4"/>
    <w:basedOn w:val="List4"/>
    <w:rsid w:val="000C28D5"/>
    <w:pPr>
      <w:numPr>
        <w:numId w:val="3"/>
      </w:numPr>
      <w:tabs>
        <w:tab w:val="clear" w:pos="1361"/>
      </w:tabs>
    </w:pPr>
  </w:style>
  <w:style w:type="paragraph" w:styleId="ListBullet5">
    <w:name w:val="List Bullet 5"/>
    <w:basedOn w:val="List5"/>
    <w:rsid w:val="000C28D5"/>
    <w:pPr>
      <w:numPr>
        <w:numId w:val="4"/>
      </w:numPr>
    </w:pPr>
  </w:style>
  <w:style w:type="paragraph" w:styleId="ListContinue2">
    <w:name w:val="List Continue 2"/>
    <w:basedOn w:val="List2"/>
    <w:rsid w:val="000C28D5"/>
    <w:pPr>
      <w:ind w:firstLine="0"/>
    </w:pPr>
  </w:style>
  <w:style w:type="paragraph" w:styleId="ListContinue3">
    <w:name w:val="List Continue 3"/>
    <w:basedOn w:val="List3"/>
    <w:rsid w:val="000C28D5"/>
    <w:pPr>
      <w:ind w:left="1021" w:firstLine="0"/>
    </w:pPr>
  </w:style>
  <w:style w:type="paragraph" w:styleId="ListContinue4">
    <w:name w:val="List Continue 4"/>
    <w:basedOn w:val="List4"/>
    <w:rsid w:val="000C28D5"/>
    <w:pPr>
      <w:ind w:firstLine="0"/>
    </w:pPr>
  </w:style>
  <w:style w:type="paragraph" w:styleId="ListContinue5">
    <w:name w:val="List Continue 5"/>
    <w:basedOn w:val="List5"/>
    <w:rsid w:val="000C28D5"/>
    <w:pPr>
      <w:ind w:firstLine="0"/>
    </w:pPr>
  </w:style>
  <w:style w:type="paragraph" w:styleId="ListNumber3">
    <w:name w:val="List Number 3"/>
    <w:basedOn w:val="List3"/>
    <w:rsid w:val="000C28D5"/>
    <w:pPr>
      <w:numPr>
        <w:numId w:val="5"/>
      </w:numPr>
    </w:pPr>
  </w:style>
  <w:style w:type="paragraph" w:styleId="ListNumber4">
    <w:name w:val="List Number 4"/>
    <w:basedOn w:val="List4"/>
    <w:rsid w:val="000C28D5"/>
    <w:pPr>
      <w:numPr>
        <w:numId w:val="6"/>
      </w:numPr>
    </w:pPr>
  </w:style>
  <w:style w:type="paragraph" w:styleId="ListNumber5">
    <w:name w:val="List Number 5"/>
    <w:basedOn w:val="List5"/>
    <w:rsid w:val="000C28D5"/>
    <w:pPr>
      <w:numPr>
        <w:numId w:val="7"/>
      </w:numPr>
    </w:pPr>
  </w:style>
  <w:style w:type="paragraph" w:styleId="BlockText">
    <w:name w:val="Block Text"/>
    <w:basedOn w:val="Normal"/>
    <w:rsid w:val="000C28D5"/>
    <w:pPr>
      <w:spacing w:after="120"/>
      <w:ind w:left="1440" w:right="1440"/>
    </w:pPr>
  </w:style>
  <w:style w:type="character" w:customStyle="1" w:styleId="Subscript">
    <w:name w:val="Subscript"/>
    <w:basedOn w:val="DefaultParagraphFont"/>
    <w:rsid w:val="000C28D5"/>
    <w:rPr>
      <w:sz w:val="16"/>
      <w:vertAlign w:val="subscript"/>
    </w:rPr>
  </w:style>
  <w:style w:type="character" w:customStyle="1" w:styleId="Superscript">
    <w:name w:val="Superscript"/>
    <w:basedOn w:val="DefaultParagraphFont"/>
    <w:rsid w:val="000C28D5"/>
    <w:rPr>
      <w:sz w:val="16"/>
      <w:vertAlign w:val="superscript"/>
    </w:rPr>
  </w:style>
  <w:style w:type="character" w:customStyle="1" w:styleId="Symbols">
    <w:name w:val="Symbols"/>
    <w:basedOn w:val="DefaultParagraphFont"/>
    <w:rsid w:val="000C28D5"/>
    <w:rPr>
      <w:rFonts w:ascii="Symbol" w:hAnsi="Symbol"/>
    </w:rPr>
  </w:style>
  <w:style w:type="character" w:customStyle="1" w:styleId="MenuOptions">
    <w:name w:val="Menu Options"/>
    <w:basedOn w:val="DefaultParagraphFont"/>
    <w:rsid w:val="000C28D5"/>
    <w:rPr>
      <w:rFonts w:ascii="Arial Narrow" w:hAnsi="Arial Narrow"/>
      <w:smallCaps/>
    </w:rPr>
  </w:style>
  <w:style w:type="character" w:customStyle="1" w:styleId="Buttons">
    <w:name w:val="Buttons"/>
    <w:basedOn w:val="DefaultParagraphFont"/>
    <w:rsid w:val="000C28D5"/>
    <w:rPr>
      <w:b/>
    </w:rPr>
  </w:style>
  <w:style w:type="character" w:customStyle="1" w:styleId="Underlined">
    <w:name w:val="Underlined"/>
    <w:basedOn w:val="DefaultParagraphFont"/>
    <w:rsid w:val="000C28D5"/>
    <w:rPr>
      <w:u w:val="single"/>
    </w:rPr>
  </w:style>
  <w:style w:type="paragraph" w:customStyle="1" w:styleId="TableBodyTextRight">
    <w:name w:val="Table Body Text Right"/>
    <w:basedOn w:val="TableBodyText"/>
    <w:rsid w:val="000C28D5"/>
    <w:pPr>
      <w:widowControl w:val="0"/>
      <w:autoSpaceDE w:val="0"/>
      <w:autoSpaceDN w:val="0"/>
      <w:adjustRightInd w:val="0"/>
      <w:jc w:val="right"/>
    </w:pPr>
    <w:rPr>
      <w:rFonts w:cs="Arial"/>
      <w:szCs w:val="18"/>
    </w:rPr>
  </w:style>
  <w:style w:type="paragraph" w:customStyle="1" w:styleId="CopyrightText">
    <w:name w:val="Copyright Text"/>
    <w:basedOn w:val="BodyText"/>
    <w:rsid w:val="000C28D5"/>
    <w:rPr>
      <w:sz w:val="18"/>
    </w:rPr>
  </w:style>
  <w:style w:type="paragraph" w:customStyle="1" w:styleId="BodySmallRight">
    <w:name w:val="Body Small Right"/>
    <w:basedOn w:val="BodyTextRight"/>
    <w:rsid w:val="000C28D5"/>
    <w:rPr>
      <w:sz w:val="18"/>
      <w:szCs w:val="18"/>
    </w:rPr>
  </w:style>
  <w:style w:type="paragraph" w:customStyle="1" w:styleId="MarginEdition">
    <w:name w:val="Margin Edition"/>
    <w:basedOn w:val="MarginNote"/>
    <w:rsid w:val="000C28D5"/>
    <w:pPr>
      <w:spacing w:before="0" w:after="0"/>
    </w:pPr>
    <w:rPr>
      <w:rFonts w:ascii="Times New Roman" w:hAnsi="Times New Roman"/>
      <w:color w:val="999999"/>
    </w:rPr>
  </w:style>
  <w:style w:type="paragraph" w:customStyle="1" w:styleId="Spacer">
    <w:name w:val="Spacer"/>
    <w:basedOn w:val="Normal"/>
    <w:rsid w:val="000C28D5"/>
    <w:rPr>
      <w:sz w:val="2"/>
      <w:szCs w:val="2"/>
    </w:rPr>
  </w:style>
  <w:style w:type="character" w:customStyle="1" w:styleId="Small">
    <w:name w:val="Small"/>
    <w:basedOn w:val="DefaultParagraphFont"/>
    <w:rsid w:val="000C28D5"/>
    <w:rPr>
      <w:sz w:val="16"/>
    </w:rPr>
  </w:style>
  <w:style w:type="paragraph" w:customStyle="1" w:styleId="WideTable">
    <w:name w:val="Wide Table"/>
    <w:basedOn w:val="Normal"/>
    <w:rsid w:val="000C28D5"/>
    <w:pPr>
      <w:ind w:left="-1418"/>
    </w:pPr>
    <w:rPr>
      <w:sz w:val="2"/>
      <w:szCs w:val="2"/>
    </w:rPr>
  </w:style>
  <w:style w:type="character" w:styleId="PageNumber">
    <w:name w:val="page number"/>
    <w:basedOn w:val="DefaultParagraphFont"/>
    <w:rsid w:val="000C28D5"/>
  </w:style>
  <w:style w:type="paragraph" w:styleId="Quote">
    <w:name w:val="Quote"/>
    <w:basedOn w:val="Heading1"/>
    <w:link w:val="QuoteChar"/>
    <w:qFormat/>
    <w:rsid w:val="000C28D5"/>
    <w:rPr>
      <w:b w:val="0"/>
      <w:sz w:val="72"/>
      <w:szCs w:val="72"/>
      <w:lang w:val="en-NZ"/>
    </w:rPr>
  </w:style>
  <w:style w:type="character" w:customStyle="1" w:styleId="QuoteChar">
    <w:name w:val="Quote Char"/>
    <w:basedOn w:val="DefaultParagraphFont"/>
    <w:link w:val="Quote"/>
    <w:rsid w:val="000C28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28D5"/>
    <w:pPr>
      <w:pageBreakBefore/>
    </w:pPr>
  </w:style>
  <w:style w:type="paragraph" w:customStyle="1" w:styleId="Border">
    <w:name w:val="Border"/>
    <w:basedOn w:val="Normal"/>
    <w:qFormat/>
    <w:rsid w:val="000C28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28D5"/>
    <w:rPr>
      <w:b/>
      <w:bCs/>
      <w:i/>
      <w:iCs/>
      <w:color w:val="auto"/>
    </w:rPr>
  </w:style>
  <w:style w:type="paragraph" w:styleId="IntenseQuote">
    <w:name w:val="Intense Quote"/>
    <w:basedOn w:val="Normal"/>
    <w:next w:val="Normal"/>
    <w:link w:val="IntenseQuoteChar"/>
    <w:uiPriority w:val="30"/>
    <w:qFormat/>
    <w:rsid w:val="000C28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28D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C28D5"/>
    <w:rPr>
      <w:smallCaps/>
      <w:color w:val="auto"/>
      <w:u w:val="single"/>
    </w:rPr>
  </w:style>
  <w:style w:type="character" w:styleId="IntenseReference">
    <w:name w:val="Intense Reference"/>
    <w:basedOn w:val="DefaultParagraphFont"/>
    <w:uiPriority w:val="32"/>
    <w:qFormat/>
    <w:rsid w:val="000C28D5"/>
    <w:rPr>
      <w:b/>
      <w:bCs/>
      <w:smallCaps/>
      <w:color w:val="auto"/>
      <w:spacing w:val="5"/>
      <w:u w:val="single"/>
    </w:rPr>
  </w:style>
  <w:style w:type="paragraph" w:customStyle="1" w:styleId="2ColumnHeading">
    <w:name w:val="2Column Heading"/>
    <w:basedOn w:val="BodyText"/>
    <w:qFormat/>
    <w:rsid w:val="000C28D5"/>
    <w:pPr>
      <w:spacing w:after="60"/>
      <w:ind w:left="-2268"/>
    </w:pPr>
    <w:rPr>
      <w:b/>
    </w:rPr>
  </w:style>
  <w:style w:type="paragraph" w:customStyle="1" w:styleId="Heading1TOC">
    <w:name w:val="Heading1 TOC"/>
    <w:basedOn w:val="Normal"/>
    <w:qFormat/>
    <w:rsid w:val="000C28D5"/>
    <w:pPr>
      <w:spacing w:before="240" w:after="120"/>
    </w:pPr>
    <w:rPr>
      <w:rFonts w:ascii="Times New Roman" w:hAnsi="Times New Roman"/>
      <w:b/>
      <w:sz w:val="32"/>
    </w:rPr>
  </w:style>
  <w:style w:type="paragraph" w:customStyle="1" w:styleId="Heading2TOC">
    <w:name w:val="Heading2 TOC"/>
    <w:basedOn w:val="Normal"/>
    <w:qFormat/>
    <w:rsid w:val="000C28D5"/>
    <w:pPr>
      <w:spacing w:before="240" w:after="60"/>
    </w:pPr>
    <w:rPr>
      <w:rFonts w:ascii="Times New Roman" w:hAnsi="Times New Roman"/>
      <w:b/>
      <w:sz w:val="28"/>
    </w:rPr>
  </w:style>
  <w:style w:type="character" w:customStyle="1" w:styleId="Underline">
    <w:name w:val="Underline"/>
    <w:basedOn w:val="DefaultParagraphFont"/>
    <w:qFormat/>
    <w:rsid w:val="000C28D5"/>
    <w:rPr>
      <w:u w:val="single"/>
    </w:rPr>
  </w:style>
  <w:style w:type="character" w:customStyle="1" w:styleId="BoldandItalics">
    <w:name w:val="Bold and Italics"/>
    <w:qFormat/>
    <w:rsid w:val="000C28D5"/>
    <w:rPr>
      <w:b/>
      <w:i/>
      <w:u w:val="none"/>
    </w:rPr>
  </w:style>
  <w:style w:type="paragraph" w:styleId="BalloonText">
    <w:name w:val="Balloon Text"/>
    <w:basedOn w:val="Normal"/>
    <w:link w:val="BalloonTextChar"/>
    <w:rsid w:val="000C28D5"/>
    <w:rPr>
      <w:rFonts w:ascii="Tahoma" w:hAnsi="Tahoma" w:cs="Tahoma"/>
      <w:sz w:val="16"/>
      <w:szCs w:val="16"/>
    </w:rPr>
  </w:style>
  <w:style w:type="character" w:customStyle="1" w:styleId="BalloonTextChar">
    <w:name w:val="Balloon Text Char"/>
    <w:basedOn w:val="DefaultParagraphFont"/>
    <w:link w:val="BalloonText"/>
    <w:rsid w:val="000C28D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C28D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C28D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C28D5"/>
    <w:rPr>
      <w:b/>
      <w:color w:val="660033"/>
      <w:spacing w:val="0"/>
    </w:rPr>
  </w:style>
  <w:style w:type="paragraph" w:customStyle="1" w:styleId="Nameditemlist">
    <w:name w:val="Named item list"/>
    <w:basedOn w:val="BodyText"/>
    <w:qFormat/>
    <w:rsid w:val="000C28D5"/>
    <w:pPr>
      <w:tabs>
        <w:tab w:val="left" w:pos="2835"/>
      </w:tabs>
      <w:ind w:left="2835" w:hanging="2835"/>
    </w:pPr>
  </w:style>
  <w:style w:type="paragraph" w:customStyle="1" w:styleId="BodyTextnopadding">
    <w:name w:val="Body Text no padding"/>
    <w:basedOn w:val="BodyText"/>
    <w:qFormat/>
    <w:rsid w:val="000C28D5"/>
    <w:pPr>
      <w:spacing w:before="0" w:after="0"/>
    </w:pPr>
  </w:style>
  <w:style w:type="paragraph" w:customStyle="1" w:styleId="BodyTextBold">
    <w:name w:val="Body Text Bold"/>
    <w:basedOn w:val="BodyText"/>
    <w:qFormat/>
    <w:rsid w:val="000C28D5"/>
    <w:rPr>
      <w:b/>
    </w:rPr>
  </w:style>
  <w:style w:type="character" w:styleId="Hyperlink">
    <w:name w:val="Hyperlink"/>
    <w:basedOn w:val="DefaultParagraphFont"/>
    <w:uiPriority w:val="99"/>
    <w:unhideWhenUsed/>
    <w:rsid w:val="00571C8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665</Words>
  <Characters>4242</Characters>
  <Application>Microsoft Office Word</Application>
  <DocSecurity>0</DocSecurity>
  <Lines>111</Lines>
  <Paragraphs>87</Paragraphs>
  <ScaleCrop>false</ScaleCrop>
  <Company>Author-it Software Corporation Ltd.</Company>
  <LinksUpToDate>false</LinksUpToDate>
  <CharactersWithSpaces>4820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HLTOHC007 Recognise and respond to oral health issues</dc:title>
  <dc:subject>Approved</dc:subject>
  <dc:creator>SkillsIQ</dc:creator>
  <cp:keywords>Release: 2</cp:keywords>
  <dc:description>Review Date: 12 April 2008</dc:description>
  <cp:lastModifiedBy>HSD_TPCMSd.prod</cp:lastModifiedBy>
  <cp:revision>3</cp:revision>
  <dcterms:created xsi:type="dcterms:W3CDTF">2023-07-02T02:22:00Z</dcterms:created>
  <dcterms:modified xsi:type="dcterms:W3CDTF">2023-07-02T02:22:00Z</dcterms:modified>
</cp:coreProperties>
</file>