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41F" w:rsidP="005A641F">
      <w:pPr>
        <w:pStyle w:val="Title"/>
      </w:pPr>
      <w:r>
        <w:fldChar w:fldCharType="begin"/>
      </w:r>
      <w:r>
        <w:instrText xml:space="preserve"> TITLE   \* MERGEFORMAT </w:instrText>
      </w:r>
      <w:r>
        <w:fldChar w:fldCharType="separate"/>
      </w:r>
      <w:r>
        <w:t>HLTOHC003 Apply and manage use of basic oral health products</w:t>
      </w:r>
      <w:r>
        <w:fldChar w:fldCharType="end"/>
      </w:r>
    </w:p>
    <w:p w:rsidR="005A641F" w:rsidP="005A641F">
      <w:pPr>
        <w:pStyle w:val="Version"/>
        <w:sectPr w:rsidSect="00E739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92B" w:rsidP="00E7392B">
      <w:pPr>
        <w:pStyle w:val="SuperHeading"/>
      </w:pPr>
      <w:r w:rsidRPr="00E7392B">
        <w:t>HLTOHC003 Apply and manage use of basic oral health products</w:t>
      </w:r>
    </w:p>
    <w:p w:rsidR="00000000" w:rsidRPr="00E7392B" w:rsidP="00E7392B">
      <w:pPr>
        <w:pStyle w:val="Heading1"/>
      </w:pPr>
      <w:bookmarkStart w:id="1" w:name="O_744373"/>
      <w:bookmarkEnd w:id="1"/>
      <w:r w:rsidRPr="00E7392B">
        <w:t>Modification History</w:t>
      </w:r>
    </w:p>
    <w:tbl>
      <w:tblPr>
        <w:tblW w:w="0" w:type="auto"/>
        <w:tblLayout w:type="fixed"/>
        <w:tblCellMar>
          <w:left w:w="62" w:type="dxa"/>
          <w:right w:w="62" w:type="dxa"/>
        </w:tblCellMar>
        <w:tblLook w:val="0000"/>
      </w:tblPr>
      <w:tblGrid>
        <w:gridCol w:w="2790"/>
        <w:gridCol w:w="6344"/>
      </w:tblGrid>
      <w:tr w:rsidTr="00E739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92B" w:rsidP="00E7392B">
            <w:pPr>
              <w:pStyle w:val="BodyText"/>
            </w:pPr>
            <w:r w:rsidRPr="00E7392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92B">
            <w:pPr>
              <w:pStyle w:val="BodyText"/>
              <w:rPr>
                <w:lang w:val="en-NZ"/>
              </w:rPr>
            </w:pPr>
            <w:r w:rsidRPr="00E7392B">
              <w:rPr>
                <w:rStyle w:val="SpecialBold"/>
              </w:rPr>
              <w:t>Comments</w:t>
            </w:r>
          </w:p>
        </w:tc>
      </w:tr>
      <w:tr w:rsidTr="00E739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92B">
            <w:pPr>
              <w:pStyle w:val="BodyText"/>
              <w:rPr>
                <w:lang w:val="en-NZ"/>
              </w:rPr>
            </w:pPr>
            <w:r w:rsidRPr="00E7392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92B" w:rsidP="00E7392B">
            <w:pPr>
              <w:pStyle w:val="BodyText"/>
            </w:pPr>
            <w:r w:rsidRPr="00E7392B">
              <w:t xml:space="preserve">This version was released in </w:t>
            </w:r>
            <w:r w:rsidRPr="00E7392B">
              <w:rPr>
                <w:rStyle w:val="Emphasis"/>
              </w:rPr>
              <w:t>HLT Health Training Package release 2.0</w:t>
            </w:r>
            <w:r w:rsidRPr="00E7392B">
              <w:t xml:space="preserve"> and meets the requirements of the 2012 Standards for Training Packages.</w:t>
            </w:r>
          </w:p>
          <w:p w:rsidR="00000000" w:rsidRPr="00E7392B" w:rsidP="00E7392B">
            <w:pPr>
              <w:pStyle w:val="BodyText"/>
            </w:pPr>
            <w:r w:rsidRPr="00E7392B">
              <w:t>Significant changes to the elements and performanc</w:t>
            </w:r>
            <w:r w:rsidRPr="00E7392B">
              <w:t>e criteria - Removed pre-requisite. New evidence requirements for assessment including volume and frequency requirements.</w:t>
            </w:r>
          </w:p>
        </w:tc>
      </w:tr>
    </w:tbl>
    <w:p w:rsidR="00000000" w:rsidRPr="00E7392B" w:rsidP="00E7392B">
      <w:pPr>
        <w:pStyle w:val="BodyText"/>
      </w:pPr>
    </w:p>
    <w:p w:rsidR="00000000" w:rsidRPr="00E7392B" w:rsidP="00E7392B">
      <w:pPr>
        <w:pStyle w:val="AllowPageBreak"/>
      </w:pPr>
    </w:p>
    <w:p w:rsidR="00000000" w:rsidRPr="00E7392B" w:rsidP="00E7392B">
      <w:pPr>
        <w:pStyle w:val="Heading1"/>
      </w:pPr>
      <w:bookmarkStart w:id="2" w:name="O_744374"/>
      <w:bookmarkEnd w:id="2"/>
      <w:r w:rsidRPr="00E7392B">
        <w:t>Application</w:t>
      </w:r>
    </w:p>
    <w:p w:rsidR="00000000" w:rsidRPr="00E7392B" w:rsidP="005A641F">
      <w:pPr>
        <w:pStyle w:val="BodyText"/>
      </w:pPr>
      <w:r w:rsidRPr="00E7392B">
        <w:t>This unit describes the skills and knowledge required to apply and manage use of basic oral health prod</w:t>
      </w:r>
      <w:r w:rsidRPr="00E7392B">
        <w:t xml:space="preserve">ucts and provide assistance to patients in the use of those products as identified in an individualised oral health care plan. </w:t>
      </w:r>
    </w:p>
    <w:p w:rsidR="00000000" w:rsidRPr="00E7392B" w:rsidP="005A641F">
      <w:pPr>
        <w:pStyle w:val="BodyText"/>
      </w:pPr>
      <w:r w:rsidRPr="00E7392B">
        <w:t>This unit applies to workers whose work roles specifically include the application of identified oral health products in line w</w:t>
      </w:r>
      <w:r w:rsidRPr="00E7392B">
        <w:t xml:space="preserve">ith product guidelines and in compliance with all regulations related to the supply and use of regulated products (excluding fluoride varnish). </w:t>
      </w:r>
    </w:p>
    <w:p w:rsidR="005A641F" w:rsidRPr="005A641F" w:rsidP="005A641F">
      <w:pPr>
        <w:pStyle w:val="BodyText"/>
        <w:rPr>
          <w:i/>
        </w:rPr>
      </w:pPr>
      <w:r w:rsidRPr="005A641F">
        <w:rPr>
          <w:rStyle w:val="BoldandItalics"/>
        </w:rPr>
        <w:t>T</w:t>
      </w:r>
      <w:r w:rsidRPr="005A641F">
        <w:rPr>
          <w:rStyle w:val="Emphasis"/>
        </w:rPr>
        <w:t>he skills in this unit must be applied in accordance with Commonwealth and State/Territory legislation, Austr</w:t>
      </w:r>
      <w:r w:rsidRPr="005A641F">
        <w:rPr>
          <w:rStyle w:val="Emphasis"/>
        </w:rPr>
        <w:t xml:space="preserve">alian/New Zealand standards for maintaining infection control and the policies and procedures of the oral health practice or organisation </w:t>
      </w:r>
    </w:p>
    <w:p w:rsidR="00000000" w:rsidRPr="00E7392B" w:rsidP="00E7392B">
      <w:pPr>
        <w:pStyle w:val="Heading1"/>
      </w:pPr>
      <w:bookmarkStart w:id="3" w:name="O_744378"/>
      <w:bookmarkEnd w:id="3"/>
      <w:r w:rsidRPr="00E7392B">
        <w:t>Elements and Performance Criteria</w:t>
      </w:r>
    </w:p>
    <w:tbl>
      <w:tblPr>
        <w:tblW w:w="0" w:type="auto"/>
        <w:tblLayout w:type="fixed"/>
        <w:tblCellMar>
          <w:left w:w="62" w:type="dxa"/>
          <w:right w:w="62" w:type="dxa"/>
        </w:tblCellMar>
        <w:tblLook w:val="0000"/>
      </w:tblPr>
      <w:tblGrid>
        <w:gridCol w:w="3232"/>
        <w:gridCol w:w="5669"/>
      </w:tblGrid>
      <w:tr w:rsidTr="00E7392B">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E7392B" w:rsidP="00E7392B">
            <w:pPr>
              <w:pStyle w:val="BodyText"/>
            </w:pPr>
            <w:r w:rsidRPr="00E7392B">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E7392B">
            <w:pPr>
              <w:pStyle w:val="BodyText"/>
              <w:rPr>
                <w:lang w:val="en-NZ"/>
              </w:rPr>
            </w:pPr>
            <w:r w:rsidRPr="00E7392B">
              <w:rPr>
                <w:rStyle w:val="SpecialBold"/>
              </w:rPr>
              <w:t>PERFORMANCE CRITERIA</w:t>
            </w:r>
          </w:p>
        </w:tc>
      </w:tr>
      <w:tr w:rsidTr="00E7392B">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E7392B" w:rsidP="00E7392B">
            <w:pPr>
              <w:pStyle w:val="BodyText"/>
            </w:pPr>
            <w:r w:rsidRPr="00E7392B">
              <w:rPr>
                <w:rStyle w:val="Emphasis"/>
              </w:rPr>
              <w:t xml:space="preserve">Elements define the essential </w:t>
            </w:r>
            <w:r w:rsidRPr="00E7392B">
              <w:t>outcomes.</w:t>
            </w:r>
          </w:p>
        </w:tc>
        <w:tc>
          <w:tcPr>
            <w:tcW w:w="5669" w:type="dxa"/>
            <w:tcBorders>
              <w:top w:val="nil"/>
              <w:left w:val="nil"/>
              <w:bottom w:val="nil"/>
              <w:right w:val="nil"/>
            </w:tcBorders>
            <w:tcMar>
              <w:top w:w="0" w:type="dxa"/>
              <w:left w:w="62" w:type="dxa"/>
              <w:bottom w:w="0" w:type="dxa"/>
              <w:right w:w="62" w:type="dxa"/>
            </w:tcMar>
          </w:tcPr>
          <w:p w:rsidR="00000000" w:rsidP="00E7392B">
            <w:pPr>
              <w:pStyle w:val="BodyText"/>
              <w:rPr>
                <w:lang w:val="en-NZ"/>
              </w:rPr>
            </w:pPr>
            <w:r w:rsidRPr="00E7392B">
              <w:rPr>
                <w:rStyle w:val="Emphasis"/>
              </w:rPr>
              <w:t>Performance criteria specify the level of performance needed to demonstrate achievement of the element</w:t>
            </w:r>
          </w:p>
        </w:tc>
      </w:tr>
      <w:tr w:rsidTr="00E7392B">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7392B">
            <w:pPr>
              <w:pStyle w:val="BodyText"/>
              <w:rPr>
                <w:lang w:val="en-NZ"/>
              </w:rPr>
            </w:pPr>
            <w:r w:rsidRPr="00E7392B">
              <w:t>1. Prepare for and participate in the application of basic oral health care products</w:t>
            </w:r>
          </w:p>
        </w:tc>
        <w:tc>
          <w:tcPr>
            <w:tcW w:w="5669" w:type="dxa"/>
            <w:tcBorders>
              <w:top w:val="nil"/>
              <w:left w:val="nil"/>
              <w:bottom w:val="nil"/>
              <w:right w:val="nil"/>
            </w:tcBorders>
            <w:tcMar>
              <w:top w:w="0" w:type="dxa"/>
              <w:left w:w="62" w:type="dxa"/>
              <w:bottom w:w="0" w:type="dxa"/>
              <w:right w:w="62" w:type="dxa"/>
            </w:tcMar>
          </w:tcPr>
          <w:p w:rsidR="00000000" w:rsidRPr="00E7392B" w:rsidP="00E7392B">
            <w:pPr>
              <w:pStyle w:val="BodyText"/>
            </w:pPr>
            <w:r w:rsidRPr="00E7392B">
              <w:t>1.1 Identify and comply with manufacturers’ guidelines re</w:t>
            </w:r>
            <w:r w:rsidRPr="00E7392B">
              <w:t>lating to each product and its application</w:t>
            </w:r>
          </w:p>
          <w:p w:rsidR="00000000" w:rsidRPr="00E7392B" w:rsidP="00E7392B">
            <w:pPr>
              <w:pStyle w:val="BodyText"/>
            </w:pPr>
            <w:r w:rsidRPr="00E7392B">
              <w:t>1.2 Identify high risk products and comply with specific guidelines relating to their application</w:t>
            </w:r>
          </w:p>
          <w:p w:rsidR="00000000" w:rsidRPr="00E7392B" w:rsidP="00E7392B">
            <w:pPr>
              <w:pStyle w:val="BodyText"/>
            </w:pPr>
            <w:r w:rsidRPr="00E7392B">
              <w:t xml:space="preserve">1.3 Explain product application process and purpose to patient and/or carer in line with product guidelines, oral </w:t>
            </w:r>
            <w:r w:rsidRPr="00E7392B">
              <w:t>h</w:t>
            </w:r>
            <w:r w:rsidRPr="00E7392B">
              <w:t>ealth care benefits and any risks</w:t>
            </w:r>
          </w:p>
          <w:p w:rsidR="00000000" w:rsidRPr="00E7392B" w:rsidP="00E7392B">
            <w:pPr>
              <w:pStyle w:val="BodyText"/>
            </w:pPr>
            <w:r w:rsidRPr="00E7392B">
              <w:t>1.4 Obtain feedback from patient to determine that procedure is understood and obtain consent from patient and/or carer to undertake process</w:t>
            </w:r>
          </w:p>
          <w:p w:rsidR="00000000" w:rsidRPr="00E7392B" w:rsidP="00E7392B">
            <w:pPr>
              <w:pStyle w:val="BodyText"/>
            </w:pPr>
            <w:r w:rsidRPr="00E7392B">
              <w:t>1.5 Confirm patient is comfortably positioned according to their individual needs</w:t>
            </w:r>
          </w:p>
          <w:p w:rsidR="00000000" w:rsidP="00E7392B">
            <w:pPr>
              <w:pStyle w:val="BodyText"/>
              <w:rPr>
                <w:lang w:val="en-NZ"/>
              </w:rPr>
            </w:pPr>
            <w:r w:rsidRPr="00E7392B">
              <w:t>1.6 Prepare products and equipment as required and check the expiry date on product</w:t>
            </w:r>
          </w:p>
        </w:tc>
      </w:tr>
      <w:tr w:rsidTr="00E7392B">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E7392B">
            <w:pPr>
              <w:pStyle w:val="BodyText"/>
              <w:rPr>
                <w:lang w:val="en-NZ"/>
              </w:rPr>
            </w:pPr>
          </w:p>
        </w:tc>
      </w:tr>
      <w:tr w:rsidTr="00E7392B">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7392B">
            <w:pPr>
              <w:pStyle w:val="BodyText"/>
              <w:rPr>
                <w:lang w:val="en-NZ"/>
              </w:rPr>
            </w:pPr>
            <w:r w:rsidRPr="00E7392B">
              <w:t>2. Apply basic oral health care products</w:t>
            </w:r>
          </w:p>
        </w:tc>
        <w:tc>
          <w:tcPr>
            <w:tcW w:w="5669" w:type="dxa"/>
            <w:tcBorders>
              <w:top w:val="nil"/>
              <w:left w:val="nil"/>
              <w:bottom w:val="nil"/>
              <w:right w:val="nil"/>
            </w:tcBorders>
            <w:tcMar>
              <w:top w:w="0" w:type="dxa"/>
              <w:left w:w="62" w:type="dxa"/>
              <w:bottom w:w="0" w:type="dxa"/>
              <w:right w:w="62" w:type="dxa"/>
            </w:tcMar>
          </w:tcPr>
          <w:p w:rsidR="00000000" w:rsidRPr="00E7392B" w:rsidP="00E7392B">
            <w:pPr>
              <w:pStyle w:val="BodyText"/>
            </w:pPr>
            <w:r w:rsidRPr="00E7392B">
              <w:t>2.1 Determine volume and strength to apply of product in a safe and effective manner in line with oral health care plan and product guidelines</w:t>
            </w:r>
          </w:p>
          <w:p w:rsidR="00000000" w:rsidRPr="00E7392B" w:rsidP="00E7392B">
            <w:pPr>
              <w:pStyle w:val="BodyText"/>
            </w:pPr>
            <w:r w:rsidRPr="00E7392B">
              <w:t>2.2 Supervise and support patient to apply own product where able</w:t>
            </w:r>
          </w:p>
          <w:p w:rsidR="00000000" w:rsidRPr="00E7392B" w:rsidP="00E7392B">
            <w:pPr>
              <w:pStyle w:val="BodyText"/>
            </w:pPr>
            <w:r w:rsidRPr="00E7392B">
              <w:t xml:space="preserve">2.3 Where assistance is required position self </w:t>
            </w:r>
            <w:r w:rsidRPr="00E7392B">
              <w:t>to suit patient or situation</w:t>
            </w:r>
          </w:p>
          <w:p w:rsidR="00000000" w:rsidRPr="00E7392B" w:rsidP="00E7392B">
            <w:pPr>
              <w:pStyle w:val="BodyText"/>
            </w:pPr>
            <w:r w:rsidRPr="00E7392B">
              <w:t>2.4 Ensure application is undertaken using correct size/type applicator at correct location</w:t>
            </w:r>
          </w:p>
          <w:p w:rsidR="00000000" w:rsidP="00E7392B">
            <w:pPr>
              <w:pStyle w:val="BodyText"/>
              <w:rPr>
                <w:lang w:val="en-NZ"/>
              </w:rPr>
            </w:pPr>
            <w:r w:rsidRPr="00E7392B">
              <w:t>2.5 Adapt techniques or arrangements outlined in the oral health care plan in case of patient refusal or inability to comply</w:t>
            </w:r>
          </w:p>
        </w:tc>
      </w:tr>
      <w:tr w:rsidTr="00E7392B">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E7392B">
            <w:pPr>
              <w:pStyle w:val="BodyText"/>
              <w:rPr>
                <w:lang w:val="en-NZ"/>
              </w:rPr>
            </w:pPr>
          </w:p>
        </w:tc>
      </w:tr>
      <w:tr w:rsidTr="00E7392B">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E7392B">
            <w:pPr>
              <w:pStyle w:val="BodyText"/>
              <w:rPr>
                <w:lang w:val="en-NZ"/>
              </w:rPr>
            </w:pPr>
            <w:r w:rsidRPr="00E7392B">
              <w:t>3. Sup</w:t>
            </w:r>
            <w:r w:rsidRPr="00E7392B">
              <w:t>port oral health and oral hygiene of patients with special care needs</w:t>
            </w:r>
          </w:p>
        </w:tc>
        <w:tc>
          <w:tcPr>
            <w:tcW w:w="5669" w:type="dxa"/>
            <w:tcBorders>
              <w:top w:val="nil"/>
              <w:left w:val="nil"/>
              <w:bottom w:val="nil"/>
              <w:right w:val="nil"/>
            </w:tcBorders>
            <w:tcMar>
              <w:top w:w="0" w:type="dxa"/>
              <w:left w:w="62" w:type="dxa"/>
              <w:bottom w:w="0" w:type="dxa"/>
              <w:right w:w="62" w:type="dxa"/>
            </w:tcMar>
          </w:tcPr>
          <w:p w:rsidR="00000000" w:rsidRPr="00E7392B" w:rsidP="00E7392B">
            <w:pPr>
              <w:pStyle w:val="BodyText"/>
            </w:pPr>
            <w:r w:rsidRPr="00E7392B">
              <w:t>3.1 Support patient with special care needs in line with oral health care plan</w:t>
            </w:r>
          </w:p>
          <w:p w:rsidR="00000000" w:rsidRPr="00E7392B" w:rsidP="00E7392B">
            <w:pPr>
              <w:pStyle w:val="BodyText"/>
            </w:pPr>
            <w:r w:rsidRPr="00E7392B">
              <w:t>3.2 Be aware of common oral health problems associated with patients with palliative care needs and take ap</w:t>
            </w:r>
            <w:r w:rsidRPr="00E7392B">
              <w:t>propriate action in line with their needs</w:t>
            </w:r>
          </w:p>
          <w:p w:rsidR="00000000" w:rsidRPr="00E7392B" w:rsidP="00E7392B">
            <w:pPr>
              <w:pStyle w:val="BodyText"/>
            </w:pPr>
            <w:r w:rsidRPr="00E7392B">
              <w:t>3.3 Understand oral health problems associated with nil by mouth instructions and take appropriate action in line with patient needs</w:t>
            </w:r>
          </w:p>
          <w:p w:rsidR="00000000" w:rsidRPr="00E7392B" w:rsidP="00E7392B">
            <w:pPr>
              <w:pStyle w:val="BodyText"/>
            </w:pPr>
            <w:r w:rsidRPr="00E7392B">
              <w:t>3.4 Access relevant information on common difficulties associated with dementia t</w:t>
            </w:r>
            <w:r w:rsidRPr="00E7392B">
              <w:t>hat may result in oral health problems and take appropriate action in line with patient needs</w:t>
            </w:r>
          </w:p>
          <w:p w:rsidR="00000000" w:rsidRPr="00E7392B" w:rsidP="00E7392B">
            <w:pPr>
              <w:pStyle w:val="BodyText"/>
            </w:pPr>
            <w:r w:rsidRPr="00E7392B">
              <w:t xml:space="preserve">3.5 Update knowledge of common side effects of </w:t>
            </w:r>
            <w:r w:rsidRPr="00E7392B">
              <w:t>medication on oral health and initiate follow up care with health practitioner on identified patient needs</w:t>
            </w:r>
          </w:p>
          <w:p w:rsidR="00000000" w:rsidRPr="00E7392B" w:rsidP="00E7392B">
            <w:pPr>
              <w:pStyle w:val="BodyText"/>
            </w:pPr>
            <w:r w:rsidRPr="00E7392B">
              <w:t>3.6 Ensu</w:t>
            </w:r>
            <w:r w:rsidRPr="00E7392B">
              <w:t>re identified preventive measures are implemented in line with oral health care plan</w:t>
            </w:r>
          </w:p>
          <w:p w:rsidR="00000000" w:rsidP="00E7392B">
            <w:pPr>
              <w:pStyle w:val="BodyText"/>
              <w:rPr>
                <w:lang w:val="en-NZ"/>
              </w:rPr>
            </w:pPr>
          </w:p>
        </w:tc>
      </w:tr>
      <w:tr w:rsidTr="00E7392B">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E7392B">
            <w:pPr>
              <w:pStyle w:val="BodyText"/>
              <w:rPr>
                <w:lang w:val="en-NZ"/>
              </w:rPr>
            </w:pPr>
            <w:r w:rsidRPr="00E7392B">
              <w:t>4. Complete reporting and documentation and evaluate outcomes</w:t>
            </w:r>
          </w:p>
        </w:tc>
        <w:tc>
          <w:tcPr>
            <w:tcW w:w="5669" w:type="dxa"/>
            <w:tcBorders>
              <w:top w:val="nil"/>
              <w:left w:val="nil"/>
              <w:bottom w:val="nil"/>
              <w:right w:val="nil"/>
            </w:tcBorders>
            <w:tcMar>
              <w:top w:w="0" w:type="dxa"/>
              <w:left w:w="62" w:type="dxa"/>
              <w:bottom w:w="0" w:type="dxa"/>
              <w:right w:w="62" w:type="dxa"/>
            </w:tcMar>
          </w:tcPr>
          <w:p w:rsidR="00000000" w:rsidRPr="00E7392B" w:rsidP="00E7392B">
            <w:pPr>
              <w:pStyle w:val="BodyText"/>
            </w:pPr>
            <w:r w:rsidRPr="00E7392B">
              <w:t>4.1 Document and record processes undertaken and report any concerns arising during oral health practices</w:t>
            </w:r>
          </w:p>
          <w:p w:rsidR="00000000" w:rsidRPr="00E7392B" w:rsidP="00E7392B">
            <w:pPr>
              <w:pStyle w:val="BodyText"/>
            </w:pPr>
            <w:r w:rsidRPr="00E7392B">
              <w:t>4.2 Maintain and file documentation using relevant technology</w:t>
            </w:r>
          </w:p>
          <w:p w:rsidR="00000000" w:rsidRPr="00E7392B" w:rsidP="00E7392B">
            <w:pPr>
              <w:pStyle w:val="BodyText"/>
            </w:pPr>
            <w:r w:rsidRPr="00E7392B">
              <w:t>4.3 Evaluate the feedback and outcomes of the processes undertaken in collaboration with health care team to adjust oral health care plan</w:t>
            </w:r>
          </w:p>
        </w:tc>
      </w:tr>
    </w:tbl>
    <w:p w:rsidR="005A641F" w:rsidP="00E7392B">
      <w:pPr>
        <w:pStyle w:val="BodyText"/>
      </w:pPr>
    </w:p>
    <w:p w:rsidR="005A641F" w:rsidP="00E7392B">
      <w:pPr>
        <w:pStyle w:val="BodyText"/>
      </w:pPr>
    </w:p>
    <w:p w:rsidR="00000000" w:rsidRPr="00E7392B" w:rsidP="00E7392B">
      <w:pPr>
        <w:pStyle w:val="Heading1"/>
      </w:pPr>
      <w:bookmarkStart w:id="4" w:name="O_744379"/>
      <w:bookmarkEnd w:id="4"/>
      <w:r w:rsidRPr="00E7392B">
        <w:t>Foundation Skills</w:t>
      </w:r>
    </w:p>
    <w:tbl>
      <w:tblPr>
        <w:tblW w:w="0" w:type="auto"/>
        <w:tblLayout w:type="fixed"/>
        <w:tblCellMar>
          <w:left w:w="62" w:type="dxa"/>
          <w:right w:w="62" w:type="dxa"/>
        </w:tblCellMar>
        <w:tblLook w:val="0000"/>
      </w:tblPr>
      <w:tblGrid>
        <w:gridCol w:w="8902"/>
      </w:tblGrid>
      <w:tr w:rsidTr="00E7392B">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E7392B" w:rsidP="00E7392B">
            <w:pPr>
              <w:pStyle w:val="BodyText"/>
            </w:pPr>
            <w:r w:rsidRPr="00E7392B">
              <w:rPr>
                <w:rStyle w:val="Emphasis"/>
              </w:rPr>
              <w:t xml:space="preserve"> The Foundation Sk</w:t>
            </w:r>
            <w:r w:rsidRPr="00E7392B">
              <w:rPr>
                <w:rStyle w:val="Emphasis"/>
              </w:rPr>
              <w:t>ills describe those required skills (language, literacy, numeracy and employment skills) that are essential to performance.</w:t>
            </w:r>
          </w:p>
        </w:tc>
      </w:tr>
    </w:tbl>
    <w:p w:rsidR="00000000" w:rsidRPr="00E7392B" w:rsidP="00E7392B">
      <w:pPr>
        <w:pStyle w:val="BodyText"/>
      </w:pPr>
    </w:p>
    <w:p w:rsidR="00000000" w:rsidRPr="00E7392B" w:rsidP="005A641F">
      <w:pPr>
        <w:pStyle w:val="BodyText"/>
      </w:pPr>
      <w:r w:rsidRPr="00E7392B">
        <w:t>Foundation skills essential to performance are explicit in the performance criteria of this unit of competency.</w:t>
      </w:r>
    </w:p>
    <w:p w:rsidR="00000000" w:rsidRPr="00E7392B" w:rsidP="00E7392B">
      <w:pPr>
        <w:pStyle w:val="Heading1"/>
      </w:pPr>
      <w:bookmarkStart w:id="5" w:name="O_744381"/>
      <w:bookmarkEnd w:id="5"/>
      <w:r w:rsidRPr="00E7392B">
        <w:t>U</w:t>
      </w:r>
      <w:r w:rsidRPr="00E7392B">
        <w:t>nit Mapping Information</w:t>
      </w:r>
    </w:p>
    <w:p w:rsidR="00000000" w:rsidRPr="00E7392B" w:rsidP="005A641F">
      <w:pPr>
        <w:pStyle w:val="BodyText"/>
      </w:pPr>
      <w:r w:rsidRPr="00E7392B">
        <w:t xml:space="preserve">No equivalent unit. </w:t>
      </w:r>
    </w:p>
    <w:p w:rsidR="00000000" w:rsidRPr="00E7392B" w:rsidP="00E7392B">
      <w:pPr>
        <w:pStyle w:val="Heading1"/>
      </w:pPr>
      <w:bookmarkStart w:id="6" w:name="O_744388"/>
      <w:bookmarkEnd w:id="6"/>
      <w:r w:rsidRPr="00E7392B">
        <w:t>Links</w:t>
      </w:r>
    </w:p>
    <w:p w:rsidR="00000000" w:rsidRPr="00E7392B" w:rsidP="005A641F">
      <w:pPr>
        <w:pStyle w:val="BodyText"/>
      </w:pPr>
      <w:r w:rsidRPr="00E7392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16F6C">
        <w:rPr>
          <w:rStyle w:val="Hyperlink"/>
        </w:rPr>
        <w:t>https://vetnet.gov.au/Pages/TrainingDocs.aspx?q=ced1390f-48d9-4ab0-bd50-b015e5485705</w:t>
      </w:r>
      <w:r>
        <w:fldChar w:fldCharType="end"/>
      </w:r>
    </w:p>
    <w:p w:rsidR="00000000" w:rsidRPr="00E7392B" w:rsidP="005A641F">
      <w:pPr>
        <w:pStyle w:val="BodyText"/>
        <w:sectPr w:rsidSect="00E7392B">
          <w:headerReference w:type="default" r:id="rId10"/>
          <w:footerReference w:type="default" r:id="rId11"/>
          <w:pgSz w:w="11908" w:h="16833"/>
          <w:pgMar w:top="1702" w:right="1418" w:bottom="1702" w:left="1418" w:header="992" w:footer="992" w:gutter="0"/>
          <w:cols w:space="720"/>
          <w:noEndnote/>
          <w:docGrid w:linePitch="299"/>
        </w:sectPr>
      </w:pPr>
    </w:p>
    <w:p w:rsidR="00000000" w:rsidRPr="00E7392B" w:rsidP="00E7392B">
      <w:pPr>
        <w:pStyle w:val="SuperHeading"/>
      </w:pPr>
      <w:r w:rsidRPr="00E7392B">
        <w:t>Assessment Requirements for HLTOHC003 Apply and manage use of basic oral health products</w:t>
      </w:r>
    </w:p>
    <w:p w:rsidR="00000000" w:rsidRPr="00E7392B" w:rsidP="00E7392B">
      <w:pPr>
        <w:pStyle w:val="Heading1"/>
      </w:pPr>
      <w:bookmarkStart w:id="7" w:name="O_744383"/>
      <w:bookmarkEnd w:id="7"/>
      <w:r w:rsidRPr="00E7392B">
        <w:t>Modification History</w:t>
      </w:r>
    </w:p>
    <w:tbl>
      <w:tblPr>
        <w:tblW w:w="0" w:type="auto"/>
        <w:tblLayout w:type="fixed"/>
        <w:tblCellMar>
          <w:left w:w="62" w:type="dxa"/>
          <w:right w:w="62" w:type="dxa"/>
        </w:tblCellMar>
        <w:tblLook w:val="0000"/>
      </w:tblPr>
      <w:tblGrid>
        <w:gridCol w:w="2790"/>
        <w:gridCol w:w="6344"/>
      </w:tblGrid>
      <w:tr w:rsidTr="00E739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92B" w:rsidP="00E7392B">
            <w:pPr>
              <w:pStyle w:val="BodyText"/>
            </w:pPr>
            <w:r w:rsidRPr="00E7392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92B">
            <w:pPr>
              <w:pStyle w:val="BodyText"/>
              <w:rPr>
                <w:lang w:val="en-NZ"/>
              </w:rPr>
            </w:pPr>
            <w:r w:rsidRPr="00E7392B">
              <w:rPr>
                <w:rStyle w:val="SpecialBold"/>
              </w:rPr>
              <w:t>Comments</w:t>
            </w:r>
          </w:p>
        </w:tc>
      </w:tr>
      <w:tr w:rsidTr="00E739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92B">
            <w:pPr>
              <w:pStyle w:val="BodyText"/>
              <w:rPr>
                <w:lang w:val="en-NZ"/>
              </w:rPr>
            </w:pPr>
            <w:r w:rsidRPr="00E7392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92B" w:rsidP="00E7392B">
            <w:pPr>
              <w:pStyle w:val="BodyText"/>
            </w:pPr>
            <w:r w:rsidRPr="00E7392B">
              <w:t xml:space="preserve">This version was released in </w:t>
            </w:r>
            <w:r w:rsidRPr="00E7392B">
              <w:rPr>
                <w:rStyle w:val="Emphasis"/>
              </w:rPr>
              <w:t>HLT Health Training Package release 2.0</w:t>
            </w:r>
            <w:r w:rsidRPr="00E7392B">
              <w:t xml:space="preserve"> and meets the requirements of the 2012 Standards for Training Packages.</w:t>
            </w:r>
          </w:p>
          <w:p w:rsidR="00000000" w:rsidRPr="00E7392B" w:rsidP="00E7392B">
            <w:pPr>
              <w:pStyle w:val="BodyText"/>
            </w:pPr>
            <w:r w:rsidRPr="00E7392B">
              <w:t>Significant changes to the elements and performance criteria - Removed pre-requisite. New evidence requirements for assessment including volume and frequency requirements.</w:t>
            </w:r>
          </w:p>
        </w:tc>
      </w:tr>
    </w:tbl>
    <w:p w:rsidR="00000000" w:rsidRPr="00E7392B" w:rsidP="00E7392B">
      <w:pPr>
        <w:pStyle w:val="BodyText"/>
      </w:pPr>
    </w:p>
    <w:p w:rsidR="00000000" w:rsidRPr="00E7392B" w:rsidP="00E7392B">
      <w:pPr>
        <w:pStyle w:val="AllowPageBreak"/>
      </w:pPr>
    </w:p>
    <w:p w:rsidR="00000000" w:rsidRPr="00E7392B" w:rsidP="00E7392B">
      <w:pPr>
        <w:pStyle w:val="Heading1"/>
      </w:pPr>
      <w:bookmarkStart w:id="8" w:name="O_744384"/>
      <w:bookmarkEnd w:id="8"/>
      <w:r w:rsidRPr="00E7392B">
        <w:t>Performance Evidence</w:t>
      </w:r>
    </w:p>
    <w:p w:rsidR="00000000" w:rsidRPr="00E7392B" w:rsidP="005A641F">
      <w:pPr>
        <w:pStyle w:val="BodyText"/>
      </w:pPr>
      <w:r w:rsidRPr="00E7392B">
        <w:t>The candidate must show evidence of the ability to complete tasks outlined in elements and performance criteria of this unit, manage tasks and manage contingencies in the context of the job role. There must be evidence that the</w:t>
      </w:r>
      <w:r w:rsidRPr="00E7392B">
        <w:t xml:space="preserve"> candidate has:</w:t>
      </w:r>
    </w:p>
    <w:p w:rsidR="00000000" w:rsidRPr="00E7392B" w:rsidP="00E7392B">
      <w:pPr>
        <w:pStyle w:val="ListBullet"/>
      </w:pPr>
      <w:r w:rsidRPr="00E7392B">
        <w:t>applied identified oral health products to 3 patients that require special care needs in line with product guidelines and oral health care benefits in compliance with all regulations related to the supply and use of regulated products (exc</w:t>
      </w:r>
      <w:r w:rsidRPr="00E7392B">
        <w:t xml:space="preserve">luding fluoride varnish) </w:t>
      </w:r>
    </w:p>
    <w:p w:rsidR="00000000" w:rsidRPr="00E7392B" w:rsidP="00E7392B">
      <w:pPr>
        <w:pStyle w:val="ListBullet"/>
      </w:pPr>
      <w:r w:rsidRPr="00E7392B">
        <w:t>identified and responded at least 1 time to risks associated with applying oral health products including:</w:t>
      </w:r>
    </w:p>
    <w:p w:rsidR="00000000" w:rsidRPr="00E7392B" w:rsidP="00E7392B">
      <w:pPr>
        <w:pStyle w:val="ListBullet2"/>
      </w:pPr>
      <w:r w:rsidRPr="00E7392B">
        <w:t>allergic reaction or sensitivity to product/s</w:t>
      </w:r>
    </w:p>
    <w:p w:rsidR="00000000" w:rsidRPr="00E7392B" w:rsidP="00E7392B">
      <w:pPr>
        <w:pStyle w:val="ListBullet2"/>
      </w:pPr>
      <w:r w:rsidRPr="00E7392B">
        <w:t>injury to soft tissue from product/s</w:t>
      </w:r>
    </w:p>
    <w:p w:rsidR="00000000" w:rsidRPr="00E7392B" w:rsidP="00E7392B">
      <w:pPr>
        <w:pStyle w:val="AllowPageBreak"/>
      </w:pPr>
    </w:p>
    <w:p w:rsidR="00000000" w:rsidRPr="00E7392B" w:rsidP="00E7392B">
      <w:pPr>
        <w:pStyle w:val="Heading1"/>
      </w:pPr>
      <w:bookmarkStart w:id="9" w:name="O_744385"/>
      <w:bookmarkEnd w:id="9"/>
      <w:r w:rsidRPr="00E7392B">
        <w:t>Knowledge Evidence</w:t>
      </w:r>
    </w:p>
    <w:p w:rsidR="00000000" w:rsidRPr="00E7392B" w:rsidP="005A641F">
      <w:pPr>
        <w:pStyle w:val="BodyText"/>
      </w:pPr>
      <w:r w:rsidRPr="00E7392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7392B">
        <w:t>of:</w:t>
      </w:r>
    </w:p>
    <w:p w:rsidR="00000000" w:rsidRPr="00E7392B" w:rsidP="00E7392B">
      <w:pPr>
        <w:pStyle w:val="ListBullet"/>
      </w:pPr>
      <w:r w:rsidRPr="00E7392B">
        <w:t>relevant state/territory and national government policy and programs and reporting processes for oral health and regulations related to the supply and use of regulated products</w:t>
      </w:r>
    </w:p>
    <w:p w:rsidR="00000000" w:rsidRPr="00E7392B" w:rsidP="00E7392B">
      <w:pPr>
        <w:pStyle w:val="ListBullet"/>
      </w:pPr>
      <w:r w:rsidRPr="00E7392B">
        <w:t>accessibility to services including availability of private and public ora</w:t>
      </w:r>
      <w:r w:rsidRPr="00E7392B">
        <w:t>l health services, including eligibility for services</w:t>
      </w:r>
    </w:p>
    <w:p w:rsidR="00000000" w:rsidRPr="00E7392B" w:rsidP="00E7392B">
      <w:pPr>
        <w:pStyle w:val="ListBullet"/>
      </w:pPr>
      <w:r w:rsidRPr="00E7392B">
        <w:t>basic anatomy and physiology underpinning oral health, including what is considered healthy and unhealthy</w:t>
      </w:r>
    </w:p>
    <w:p w:rsidR="00000000" w:rsidRPr="00E7392B" w:rsidP="00E7392B">
      <w:pPr>
        <w:pStyle w:val="ListBullet"/>
      </w:pPr>
      <w:r w:rsidRPr="00E7392B">
        <w:t>benefits and risks associated with basic oral health products</w:t>
      </w:r>
    </w:p>
    <w:p w:rsidR="00000000" w:rsidRPr="00E7392B" w:rsidP="00E7392B">
      <w:pPr>
        <w:pStyle w:val="ListBullet"/>
      </w:pPr>
      <w:r w:rsidRPr="00E7392B">
        <w:t>common equipment and aids utilised</w:t>
      </w:r>
      <w:r w:rsidRPr="00E7392B">
        <w:t xml:space="preserve"> in the application of oral hygiene products e.g. mouth props</w:t>
      </w:r>
    </w:p>
    <w:p w:rsidR="00000000" w:rsidRPr="00E7392B" w:rsidP="00E7392B">
      <w:pPr>
        <w:pStyle w:val="ListBullet"/>
      </w:pPr>
      <w:r w:rsidRPr="00E7392B">
        <w:t>factors that impact on oral health, including:</w:t>
      </w:r>
    </w:p>
    <w:p w:rsidR="00000000" w:rsidRPr="00E7392B" w:rsidP="00E7392B">
      <w:pPr>
        <w:pStyle w:val="ListBullet2"/>
      </w:pPr>
      <w:r w:rsidRPr="00E7392B">
        <w:t>abuse (neglect of oral health needs)</w:t>
      </w:r>
    </w:p>
    <w:p w:rsidR="00000000" w:rsidRPr="00E7392B" w:rsidP="00E7392B">
      <w:pPr>
        <w:pStyle w:val="ListBullet2"/>
      </w:pPr>
      <w:r w:rsidRPr="00E7392B">
        <w:t xml:space="preserve">access to dental and health services </w:t>
      </w:r>
    </w:p>
    <w:p w:rsidR="00000000" w:rsidRPr="00E7392B" w:rsidP="00E7392B">
      <w:pPr>
        <w:pStyle w:val="ListBullet2"/>
      </w:pPr>
      <w:r w:rsidRPr="00E7392B">
        <w:t>accumulation of plaque and calculus</w:t>
      </w:r>
    </w:p>
    <w:p w:rsidR="00000000" w:rsidRPr="00E7392B" w:rsidP="00E7392B">
      <w:pPr>
        <w:pStyle w:val="ListBullet2"/>
      </w:pPr>
      <w:r w:rsidRPr="00E7392B">
        <w:t>alcohol, licit and illicit drugs and substances, over the counter and herbal treatments</w:t>
      </w:r>
    </w:p>
    <w:p w:rsidR="00000000" w:rsidRPr="00E7392B" w:rsidP="00E7392B">
      <w:pPr>
        <w:pStyle w:val="ListBullet2"/>
      </w:pPr>
      <w:r w:rsidRPr="00E7392B">
        <w:t>alcohol misuse</w:t>
      </w:r>
    </w:p>
    <w:p w:rsidR="00000000" w:rsidRPr="00E7392B" w:rsidP="00E7392B">
      <w:pPr>
        <w:pStyle w:val="ListBullet2"/>
      </w:pPr>
      <w:r w:rsidRPr="00E7392B">
        <w:t>bacteria in dental plaque</w:t>
      </w:r>
    </w:p>
    <w:p w:rsidR="00000000" w:rsidRPr="00E7392B" w:rsidP="00E7392B">
      <w:pPr>
        <w:pStyle w:val="ListBullet2"/>
      </w:pPr>
      <w:r w:rsidRPr="00E7392B">
        <w:t>correct infant feeding practices</w:t>
      </w:r>
    </w:p>
    <w:p w:rsidR="00000000" w:rsidRPr="00E7392B" w:rsidP="00E7392B">
      <w:pPr>
        <w:pStyle w:val="ListBullet2"/>
      </w:pPr>
      <w:r w:rsidRPr="00E7392B">
        <w:t xml:space="preserve">damage from habitual grinding of teeth </w:t>
      </w:r>
    </w:p>
    <w:p w:rsidR="00000000" w:rsidRPr="00E7392B" w:rsidP="00E7392B">
      <w:pPr>
        <w:pStyle w:val="ListBullet2"/>
      </w:pPr>
      <w:r w:rsidRPr="00E7392B">
        <w:t>diet and nutrition, including fluids</w:t>
      </w:r>
    </w:p>
    <w:p w:rsidR="00000000" w:rsidRPr="00E7392B" w:rsidP="00E7392B">
      <w:pPr>
        <w:pStyle w:val="ListBullet2"/>
      </w:pPr>
      <w:r w:rsidRPr="00E7392B">
        <w:t>fluoride</w:t>
      </w:r>
    </w:p>
    <w:p w:rsidR="00000000" w:rsidRPr="00E7392B" w:rsidP="00E7392B">
      <w:pPr>
        <w:pStyle w:val="ListBullet2"/>
      </w:pPr>
      <w:r w:rsidRPr="00E7392B">
        <w:t xml:space="preserve">general </w:t>
      </w:r>
      <w:r w:rsidRPr="00E7392B">
        <w:t>health and wellbeing</w:t>
      </w:r>
    </w:p>
    <w:p w:rsidR="00000000" w:rsidRPr="00E7392B" w:rsidP="00E7392B">
      <w:pPr>
        <w:pStyle w:val="ListBullet2"/>
      </w:pPr>
      <w:r w:rsidRPr="00E7392B">
        <w:t>immunosuppressant conditions, HIV, chemotherapy and radiation</w:t>
      </w:r>
    </w:p>
    <w:p w:rsidR="00000000" w:rsidRPr="00E7392B" w:rsidP="00E7392B">
      <w:pPr>
        <w:pStyle w:val="ListBullet2"/>
      </w:pPr>
      <w:r w:rsidRPr="00E7392B">
        <w:t xml:space="preserve">injury to mouth, such as from a seizure </w:t>
      </w:r>
    </w:p>
    <w:p w:rsidR="00000000" w:rsidRPr="00E7392B" w:rsidP="00E7392B">
      <w:pPr>
        <w:pStyle w:val="ListBullet2"/>
      </w:pPr>
      <w:r w:rsidRPr="00E7392B">
        <w:t>medical history</w:t>
      </w:r>
    </w:p>
    <w:p w:rsidR="00000000" w:rsidRPr="00E7392B" w:rsidP="00E7392B">
      <w:pPr>
        <w:pStyle w:val="ListBullet2"/>
      </w:pPr>
      <w:r w:rsidRPr="00E7392B">
        <w:t>oral piercings</w:t>
      </w:r>
    </w:p>
    <w:p w:rsidR="00000000" w:rsidRPr="00E7392B" w:rsidP="00E7392B">
      <w:pPr>
        <w:pStyle w:val="ListBullet2"/>
      </w:pPr>
      <w:r w:rsidRPr="00E7392B">
        <w:t>patient oral health information</w:t>
      </w:r>
    </w:p>
    <w:p w:rsidR="00000000" w:rsidRPr="00E7392B" w:rsidP="00E7392B">
      <w:pPr>
        <w:pStyle w:val="ListBullet2"/>
      </w:pPr>
      <w:r w:rsidRPr="00E7392B">
        <w:t>psychological issues, such as fear of being seen wit</w:t>
      </w:r>
      <w:r w:rsidRPr="00E7392B">
        <w:t>hout dentures or persisting with ill-fitting dentures for satisfaction of others</w:t>
      </w:r>
    </w:p>
    <w:p w:rsidR="00000000" w:rsidRPr="00E7392B" w:rsidP="00E7392B">
      <w:pPr>
        <w:pStyle w:val="ListBullet2"/>
      </w:pPr>
      <w:r w:rsidRPr="00E7392B">
        <w:t>salivary function</w:t>
      </w:r>
    </w:p>
    <w:p w:rsidR="00000000" w:rsidRPr="00E7392B" w:rsidP="00E7392B">
      <w:pPr>
        <w:pStyle w:val="ListBullet2"/>
      </w:pPr>
      <w:r w:rsidRPr="00E7392B">
        <w:t>smoking</w:t>
      </w:r>
    </w:p>
    <w:p w:rsidR="00000000" w:rsidRPr="00E7392B" w:rsidP="00E7392B">
      <w:pPr>
        <w:pStyle w:val="ListBullet2"/>
      </w:pPr>
      <w:r w:rsidRPr="00E7392B">
        <w:t>social and cultural determinants of health</w:t>
      </w:r>
    </w:p>
    <w:p w:rsidR="00000000" w:rsidRPr="00E7392B" w:rsidP="00E7392B">
      <w:pPr>
        <w:pStyle w:val="ListBullet2"/>
      </w:pPr>
      <w:r w:rsidRPr="00E7392B">
        <w:t xml:space="preserve">susceptible tooth surfaces </w:t>
      </w:r>
    </w:p>
    <w:p w:rsidR="00000000" w:rsidRPr="00E7392B" w:rsidP="00E7392B">
      <w:pPr>
        <w:pStyle w:val="ListBullet2"/>
      </w:pPr>
      <w:r w:rsidRPr="00E7392B">
        <w:t>transmission of bacteria particularly from family/carer to child</w:t>
      </w:r>
    </w:p>
    <w:p w:rsidR="00000000" w:rsidRPr="00E7392B" w:rsidP="00E7392B">
      <w:pPr>
        <w:pStyle w:val="ListBullet2"/>
      </w:pPr>
      <w:r w:rsidRPr="00E7392B">
        <w:t>trauma to the</w:t>
      </w:r>
      <w:r w:rsidRPr="00E7392B">
        <w:t xml:space="preserve"> mouth as a result of an accident</w:t>
      </w:r>
    </w:p>
    <w:p w:rsidR="00000000" w:rsidRPr="00E7392B" w:rsidP="00E7392B">
      <w:pPr>
        <w:pStyle w:val="ListBullet"/>
      </w:pPr>
      <w:r w:rsidRPr="00E7392B">
        <w:t xml:space="preserve">healthy eating recommendations as identified in the </w:t>
      </w:r>
      <w:r w:rsidRPr="00E7392B">
        <w:rPr>
          <w:rStyle w:val="Emphasis"/>
        </w:rPr>
        <w:t>National health and medical research council’s (NHMRC) Australian dietary guidelines</w:t>
      </w:r>
    </w:p>
    <w:p w:rsidR="00000000" w:rsidRPr="00E7392B" w:rsidP="00E7392B">
      <w:pPr>
        <w:pStyle w:val="ListBullet"/>
      </w:pPr>
      <w:r w:rsidRPr="00E7392B">
        <w:t>individualised oral health care support plans, including terminology</w:t>
      </w:r>
    </w:p>
    <w:p w:rsidR="00000000" w:rsidRPr="00E7392B" w:rsidP="00E7392B">
      <w:pPr>
        <w:pStyle w:val="ListBullet"/>
      </w:pPr>
      <w:r w:rsidRPr="00E7392B">
        <w:t>work health and</w:t>
      </w:r>
      <w:r w:rsidRPr="00E7392B">
        <w:t xml:space="preserve"> safety (WHS) issues and procedures, including those related to manual handling and infection control</w:t>
      </w:r>
    </w:p>
    <w:p w:rsidR="00000000" w:rsidRPr="00E7392B" w:rsidP="00E7392B">
      <w:pPr>
        <w:pStyle w:val="ListBullet"/>
      </w:pPr>
      <w:r w:rsidRPr="00E7392B">
        <w:t>oral disease and broad treatment options available</w:t>
      </w:r>
    </w:p>
    <w:p w:rsidR="00000000" w:rsidRPr="00E7392B" w:rsidP="00E7392B">
      <w:pPr>
        <w:pStyle w:val="ListBullet"/>
      </w:pPr>
      <w:r w:rsidRPr="00E7392B">
        <w:t xml:space="preserve">oral health issues for identified high risk sub-populations </w:t>
      </w:r>
    </w:p>
    <w:p w:rsidR="00000000" w:rsidRPr="00E7392B" w:rsidP="00E7392B">
      <w:pPr>
        <w:pStyle w:val="ListBullet"/>
      </w:pPr>
      <w:r w:rsidRPr="00E7392B">
        <w:t>oral side effects of medications, such as metallic taste in the mouth, dry mouth syndrome and ulcers</w:t>
      </w:r>
    </w:p>
    <w:p w:rsidR="00000000" w:rsidRPr="00E7392B" w:rsidP="00E7392B">
      <w:pPr>
        <w:pStyle w:val="ListBullet"/>
      </w:pPr>
      <w:r w:rsidRPr="00E7392B">
        <w:t>dry mouth syndrome (xerostomia) related to conditions such as diabetes, ageing</w:t>
      </w:r>
    </w:p>
    <w:p w:rsidR="00000000" w:rsidRPr="00E7392B" w:rsidP="00E7392B">
      <w:pPr>
        <w:pStyle w:val="ListBullet"/>
      </w:pPr>
      <w:r w:rsidRPr="00E7392B">
        <w:t>own work role and responsibilities in oral health care</w:t>
      </w:r>
    </w:p>
    <w:p w:rsidR="00000000" w:rsidRPr="00E7392B" w:rsidP="00E7392B">
      <w:pPr>
        <w:pStyle w:val="ListBullet"/>
      </w:pPr>
      <w:r w:rsidRPr="00E7392B">
        <w:t>personal safety and s</w:t>
      </w:r>
      <w:r w:rsidRPr="00E7392B">
        <w:t>ecurity risks associated with provision of oral hygiene care support</w:t>
      </w:r>
    </w:p>
    <w:p w:rsidR="00000000" w:rsidRPr="00E7392B" w:rsidP="00E7392B">
      <w:pPr>
        <w:pStyle w:val="ListBullet"/>
      </w:pPr>
      <w:r w:rsidRPr="00E7392B">
        <w:t>practical use of oral health products</w:t>
      </w:r>
    </w:p>
    <w:p w:rsidR="00000000" w:rsidRPr="00E7392B" w:rsidP="00E7392B">
      <w:pPr>
        <w:pStyle w:val="ListBullet"/>
      </w:pPr>
      <w:r w:rsidRPr="00E7392B">
        <w:t>principles and practices in undertaking technical skills associated with the application of oral health products</w:t>
      </w:r>
    </w:p>
    <w:p w:rsidR="00000000" w:rsidRPr="00E7392B" w:rsidP="00E7392B">
      <w:pPr>
        <w:pStyle w:val="ListBullet"/>
      </w:pPr>
      <w:r w:rsidRPr="00E7392B">
        <w:t>principles and practices of confiden</w:t>
      </w:r>
      <w:r w:rsidRPr="00E7392B">
        <w:t>tiality, privacy, respect and consent</w:t>
      </w:r>
    </w:p>
    <w:p w:rsidR="00000000" w:rsidRPr="00E7392B" w:rsidP="00E7392B">
      <w:pPr>
        <w:pStyle w:val="ListBullet"/>
      </w:pPr>
      <w:r w:rsidRPr="00E7392B">
        <w:t>processes and strategies to support people with oral hygiene care needs</w:t>
      </w:r>
    </w:p>
    <w:p w:rsidR="00000000" w:rsidRPr="00E7392B" w:rsidP="00E7392B">
      <w:pPr>
        <w:pStyle w:val="ListBullet"/>
      </w:pPr>
      <w:r w:rsidRPr="00E7392B">
        <w:t>role of carers in relation to oral health care needs of patients</w:t>
      </w:r>
    </w:p>
    <w:p w:rsidR="00000000" w:rsidRPr="00E7392B" w:rsidP="00E7392B">
      <w:pPr>
        <w:pStyle w:val="ListBullet"/>
      </w:pPr>
      <w:r w:rsidRPr="00E7392B">
        <w:t>saliva and its role in the maintenance of oral health:</w:t>
      </w:r>
    </w:p>
    <w:p w:rsidR="00000000" w:rsidRPr="00E7392B" w:rsidP="00E7392B">
      <w:pPr>
        <w:pStyle w:val="ListBullet2"/>
      </w:pPr>
      <w:r w:rsidRPr="00E7392B">
        <w:t>acting as a lubricant</w:t>
      </w:r>
    </w:p>
    <w:p w:rsidR="00000000" w:rsidRPr="00E7392B" w:rsidP="00E7392B">
      <w:pPr>
        <w:pStyle w:val="ListBullet2"/>
      </w:pPr>
      <w:r w:rsidRPr="00E7392B">
        <w:t>delivering calcium, phosphate and fluoride to the tooth surface</w:t>
      </w:r>
    </w:p>
    <w:p w:rsidR="00000000" w:rsidRPr="00E7392B" w:rsidP="00E7392B">
      <w:pPr>
        <w:pStyle w:val="ListBullet2"/>
      </w:pPr>
      <w:r w:rsidRPr="00E7392B">
        <w:t>protecting teeth by neutralising acid</w:t>
      </w:r>
    </w:p>
    <w:p w:rsidR="00000000" w:rsidRPr="00E7392B" w:rsidP="00E7392B">
      <w:pPr>
        <w:pStyle w:val="ListBullet"/>
      </w:pPr>
      <w:r w:rsidRPr="00E7392B">
        <w:t>significance of service setting, including specific contexts, such as providing oral hygiene in a patient care setting or in a patient’s private home</w:t>
      </w:r>
    </w:p>
    <w:p w:rsidR="00000000" w:rsidRPr="00E7392B" w:rsidP="00E7392B">
      <w:pPr>
        <w:pStyle w:val="ListBullet"/>
      </w:pPr>
      <w:r w:rsidRPr="00E7392B">
        <w:t>sig</w:t>
      </w:r>
      <w:r w:rsidRPr="00E7392B">
        <w:t>ns and symptoms of an allergic reaction to an oral health product</w:t>
      </w:r>
    </w:p>
    <w:p w:rsidR="00000000" w:rsidRPr="00E7392B" w:rsidP="00E7392B">
      <w:pPr>
        <w:pStyle w:val="ListBullet"/>
      </w:pPr>
      <w:r w:rsidRPr="00E7392B">
        <w:t>specialist oral care and support for patients in circumstances, such as those who:</w:t>
      </w:r>
    </w:p>
    <w:p w:rsidR="00000000" w:rsidRPr="00E7392B" w:rsidP="00E7392B">
      <w:pPr>
        <w:pStyle w:val="ListBullet2"/>
      </w:pPr>
      <w:r w:rsidRPr="00E7392B">
        <w:t>are aged</w:t>
      </w:r>
    </w:p>
    <w:p w:rsidR="00000000" w:rsidRPr="00E7392B" w:rsidP="00E7392B">
      <w:pPr>
        <w:pStyle w:val="ListBullet2"/>
      </w:pPr>
      <w:r w:rsidRPr="00E7392B">
        <w:t>are on nil by mouth instructions</w:t>
      </w:r>
    </w:p>
    <w:p w:rsidR="00000000" w:rsidRPr="00E7392B" w:rsidP="00E7392B">
      <w:pPr>
        <w:pStyle w:val="ListBullet2"/>
      </w:pPr>
      <w:r w:rsidRPr="00E7392B">
        <w:t>are receiving palliative care</w:t>
      </w:r>
    </w:p>
    <w:p w:rsidR="00000000" w:rsidRPr="00E7392B" w:rsidP="00E7392B">
      <w:pPr>
        <w:pStyle w:val="ListBullet2"/>
      </w:pPr>
      <w:r w:rsidRPr="00E7392B">
        <w:t>are undergoing chemotherapy</w:t>
      </w:r>
    </w:p>
    <w:p w:rsidR="00000000" w:rsidRPr="00E7392B" w:rsidP="00E7392B">
      <w:pPr>
        <w:pStyle w:val="ListBullet2"/>
      </w:pPr>
      <w:r w:rsidRPr="00E7392B">
        <w:t>who ha</w:t>
      </w:r>
      <w:r w:rsidRPr="00E7392B">
        <w:t>ve enteral feeding, such as via a nasogastric tube or a percutaneous endoscopic gastrostomy (PEG) tube</w:t>
      </w:r>
    </w:p>
    <w:p w:rsidR="00000000" w:rsidRPr="00E7392B" w:rsidP="00E7392B">
      <w:pPr>
        <w:pStyle w:val="ListBullet2"/>
      </w:pPr>
      <w:r w:rsidRPr="00E7392B">
        <w:t>have dementia</w:t>
      </w:r>
    </w:p>
    <w:p w:rsidR="00000000" w:rsidRPr="00E7392B" w:rsidP="00E7392B">
      <w:pPr>
        <w:pStyle w:val="ListBullet2"/>
      </w:pPr>
      <w:r w:rsidRPr="00E7392B">
        <w:t>have epilepsy</w:t>
      </w:r>
    </w:p>
    <w:p w:rsidR="00000000" w:rsidRPr="00E7392B" w:rsidP="00E7392B">
      <w:pPr>
        <w:pStyle w:val="ListBullet2"/>
      </w:pPr>
      <w:r w:rsidRPr="00E7392B">
        <w:t>have intellectual or physical disability</w:t>
      </w:r>
    </w:p>
    <w:p w:rsidR="00000000" w:rsidRPr="00E7392B" w:rsidP="00E7392B">
      <w:pPr>
        <w:pStyle w:val="ListBullet2"/>
      </w:pPr>
      <w:r w:rsidRPr="00E7392B">
        <w:t>have loss of tooth through extraction</w:t>
      </w:r>
    </w:p>
    <w:p w:rsidR="00000000" w:rsidRPr="00E7392B" w:rsidP="00E7392B">
      <w:pPr>
        <w:pStyle w:val="ListBullet2"/>
      </w:pPr>
      <w:r w:rsidRPr="00E7392B">
        <w:t>have loss of tooth through injury</w:t>
      </w:r>
    </w:p>
    <w:p w:rsidR="00000000" w:rsidRPr="00E7392B" w:rsidP="00E7392B">
      <w:pPr>
        <w:pStyle w:val="ListBullet2"/>
      </w:pPr>
      <w:r w:rsidRPr="00E7392B">
        <w:t>have medical or psychiatric conditions</w:t>
      </w:r>
    </w:p>
    <w:p w:rsidR="00000000" w:rsidRPr="00E7392B" w:rsidP="00E7392B">
      <w:pPr>
        <w:pStyle w:val="ListBullet2"/>
      </w:pPr>
      <w:r w:rsidRPr="00E7392B">
        <w:t>have post-surgery or trauma needs</w:t>
      </w:r>
    </w:p>
    <w:p w:rsidR="00000000" w:rsidRPr="00E7392B" w:rsidP="00E7392B">
      <w:pPr>
        <w:pStyle w:val="ListBullet"/>
      </w:pPr>
      <w:r w:rsidRPr="00E7392B">
        <w:t>strategies to minimise personal safety and security risks associated with provision of oral hygiene care support</w:t>
      </w:r>
    </w:p>
    <w:p w:rsidR="00000000" w:rsidRPr="00E7392B" w:rsidP="00E7392B">
      <w:pPr>
        <w:pStyle w:val="ListBullet"/>
      </w:pPr>
      <w:r w:rsidRPr="00E7392B">
        <w:t xml:space="preserve">symptoms and signs that suggest a need for further assessment and/or </w:t>
      </w:r>
      <w:r w:rsidRPr="00E7392B">
        <w:t>treatment</w:t>
      </w:r>
    </w:p>
    <w:p w:rsidR="00000000" w:rsidRPr="00E7392B" w:rsidP="00E7392B">
      <w:pPr>
        <w:pStyle w:val="ListBullet"/>
      </w:pPr>
      <w:r w:rsidRPr="00E7392B">
        <w:t>the interaction between oral health and general health</w:t>
      </w:r>
    </w:p>
    <w:p w:rsidR="00000000" w:rsidRPr="00E7392B" w:rsidP="00E7392B">
      <w:pPr>
        <w:pStyle w:val="ListBullet"/>
      </w:pPr>
      <w:r w:rsidRPr="00E7392B">
        <w:t>basic oral health care products, including:</w:t>
      </w:r>
    </w:p>
    <w:p w:rsidR="00000000" w:rsidRPr="00E7392B" w:rsidP="00E7392B">
      <w:pPr>
        <w:pStyle w:val="ListBullet2"/>
      </w:pPr>
      <w:r w:rsidRPr="00E7392B">
        <w:t>products specified in the patient’s individualised oral health care plan, such as:</w:t>
      </w:r>
    </w:p>
    <w:p w:rsidR="00000000" w:rsidRPr="00E7392B" w:rsidP="00E7392B">
      <w:pPr>
        <w:pStyle w:val="ListBullet3"/>
      </w:pPr>
      <w:r w:rsidRPr="00E7392B">
        <w:t>alcohol-free mouthwash</w:t>
      </w:r>
    </w:p>
    <w:p w:rsidR="00000000" w:rsidRPr="00E7392B" w:rsidP="00E7392B">
      <w:pPr>
        <w:pStyle w:val="ListBullet3"/>
      </w:pPr>
      <w:r w:rsidRPr="00E7392B">
        <w:t>antibacterial products</w:t>
      </w:r>
    </w:p>
    <w:p w:rsidR="00000000" w:rsidRPr="00E7392B" w:rsidP="00E7392B">
      <w:pPr>
        <w:pStyle w:val="ListBullet3"/>
      </w:pPr>
      <w:r w:rsidRPr="00E7392B">
        <w:t>lip moisturiser</w:t>
      </w:r>
    </w:p>
    <w:p w:rsidR="00000000" w:rsidRPr="00E7392B" w:rsidP="00E7392B">
      <w:pPr>
        <w:pStyle w:val="ListBullet3"/>
      </w:pPr>
      <w:r w:rsidRPr="00E7392B">
        <w:t>non-medically prescribed therapeutic agents and topical analgesic</w:t>
      </w:r>
    </w:p>
    <w:p w:rsidR="00000000" w:rsidRPr="00E7392B" w:rsidP="00E7392B">
      <w:pPr>
        <w:pStyle w:val="ListBullet3"/>
      </w:pPr>
      <w:r w:rsidRPr="00E7392B">
        <w:t>remineralisation products</w:t>
      </w:r>
    </w:p>
    <w:p w:rsidR="00000000" w:rsidRPr="00E7392B" w:rsidP="00E7392B">
      <w:pPr>
        <w:pStyle w:val="ListBullet3"/>
      </w:pPr>
      <w:r w:rsidRPr="00E7392B">
        <w:t>saliva substitutes/stimulants:</w:t>
      </w:r>
    </w:p>
    <w:p w:rsidR="00000000" w:rsidRPr="00E7392B" w:rsidP="00E7392B">
      <w:pPr>
        <w:pStyle w:val="ListBullet4"/>
      </w:pPr>
      <w:r w:rsidRPr="00E7392B">
        <w:t>chewing gum</w:t>
      </w:r>
    </w:p>
    <w:p w:rsidR="00000000" w:rsidRPr="00E7392B" w:rsidP="00E7392B">
      <w:pPr>
        <w:pStyle w:val="ListBullet4"/>
      </w:pPr>
      <w:r w:rsidRPr="00E7392B">
        <w:t>gels</w:t>
      </w:r>
    </w:p>
    <w:p w:rsidR="00000000" w:rsidRPr="00E7392B" w:rsidP="00E7392B">
      <w:pPr>
        <w:pStyle w:val="ListBullet4"/>
      </w:pPr>
      <w:r w:rsidRPr="00E7392B">
        <w:t>liquids</w:t>
      </w:r>
    </w:p>
    <w:p w:rsidR="00000000" w:rsidRPr="00E7392B" w:rsidP="00E7392B">
      <w:pPr>
        <w:pStyle w:val="ListBullet4"/>
      </w:pPr>
      <w:r w:rsidRPr="00E7392B">
        <w:t>lozenges</w:t>
      </w:r>
    </w:p>
    <w:p w:rsidR="00000000" w:rsidRPr="00E7392B" w:rsidP="00E7392B">
      <w:pPr>
        <w:pStyle w:val="ListBullet4"/>
      </w:pPr>
      <w:r w:rsidRPr="00E7392B">
        <w:t>sprays</w:t>
      </w:r>
    </w:p>
    <w:p w:rsidR="00000000" w:rsidRPr="00E7392B" w:rsidP="00E7392B">
      <w:pPr>
        <w:pStyle w:val="ListBullet"/>
      </w:pPr>
      <w:r w:rsidRPr="00E7392B">
        <w:t>common oral health problems associated with patients with palliative care needs may includ</w:t>
      </w:r>
      <w:r w:rsidRPr="00E7392B">
        <w:t>e but are not limited to:</w:t>
      </w:r>
    </w:p>
    <w:p w:rsidR="00000000" w:rsidRPr="00E7392B" w:rsidP="00E7392B">
      <w:pPr>
        <w:pStyle w:val="ListBullet2"/>
      </w:pPr>
      <w:r w:rsidRPr="00E7392B">
        <w:t>angular cheilitis</w:t>
      </w:r>
    </w:p>
    <w:p w:rsidR="00000000" w:rsidRPr="00E7392B" w:rsidP="00E7392B">
      <w:pPr>
        <w:pStyle w:val="ListBullet2"/>
      </w:pPr>
      <w:r w:rsidRPr="00E7392B">
        <w:t>candida (thrush)</w:t>
      </w:r>
    </w:p>
    <w:p w:rsidR="00000000" w:rsidRPr="00E7392B" w:rsidP="00E7392B">
      <w:pPr>
        <w:pStyle w:val="ListBullet2"/>
      </w:pPr>
      <w:r w:rsidRPr="00E7392B">
        <w:t>debris</w:t>
      </w:r>
    </w:p>
    <w:p w:rsidR="00000000" w:rsidRPr="00E7392B" w:rsidP="00E7392B">
      <w:pPr>
        <w:pStyle w:val="ListBullet2"/>
      </w:pPr>
      <w:r w:rsidRPr="00E7392B">
        <w:t>dental caries</w:t>
      </w:r>
    </w:p>
    <w:p w:rsidR="00000000" w:rsidRPr="00E7392B" w:rsidP="00E7392B">
      <w:pPr>
        <w:pStyle w:val="ListBullet2"/>
      </w:pPr>
      <w:r w:rsidRPr="00E7392B">
        <w:t>dry mouth and/or lips</w:t>
      </w:r>
    </w:p>
    <w:p w:rsidR="00000000" w:rsidRPr="00E7392B" w:rsidP="00E7392B">
      <w:pPr>
        <w:pStyle w:val="ListBullet2"/>
      </w:pPr>
      <w:r w:rsidRPr="00E7392B">
        <w:t>excessive saliva</w:t>
      </w:r>
    </w:p>
    <w:p w:rsidR="00000000" w:rsidRPr="00E7392B" w:rsidP="00E7392B">
      <w:pPr>
        <w:pStyle w:val="ListBullet2"/>
      </w:pPr>
      <w:r w:rsidRPr="00E7392B">
        <w:t>hairy leukoplakia</w:t>
      </w:r>
    </w:p>
    <w:p w:rsidR="00000000" w:rsidRPr="00E7392B" w:rsidP="00E7392B">
      <w:pPr>
        <w:pStyle w:val="ListBullet2"/>
      </w:pPr>
      <w:r w:rsidRPr="00E7392B">
        <w:t>herpes simplex</w:t>
      </w:r>
    </w:p>
    <w:p w:rsidR="00000000" w:rsidRPr="00E7392B" w:rsidP="00E7392B">
      <w:pPr>
        <w:pStyle w:val="ListBullet2"/>
      </w:pPr>
      <w:r w:rsidRPr="00E7392B">
        <w:t>kaposi sarcoma (HIV patients only)</w:t>
      </w:r>
    </w:p>
    <w:p w:rsidR="00000000" w:rsidRPr="00E7392B" w:rsidP="00E7392B">
      <w:pPr>
        <w:pStyle w:val="ListBullet2"/>
      </w:pPr>
      <w:r w:rsidRPr="00E7392B">
        <w:t>sensitive mouth</w:t>
      </w:r>
    </w:p>
    <w:p w:rsidR="00000000" w:rsidRPr="00E7392B" w:rsidP="00E7392B">
      <w:pPr>
        <w:pStyle w:val="ListBullet2"/>
      </w:pPr>
      <w:r w:rsidRPr="00E7392B">
        <w:t>ulcers, including viral and traumatic</w:t>
      </w:r>
    </w:p>
    <w:p w:rsidR="00000000" w:rsidRPr="00E7392B" w:rsidP="00E7392B">
      <w:pPr>
        <w:pStyle w:val="AllowPageBreak"/>
      </w:pPr>
    </w:p>
    <w:p w:rsidR="00000000" w:rsidRPr="00E7392B" w:rsidP="00E7392B">
      <w:pPr>
        <w:pStyle w:val="Heading1"/>
      </w:pPr>
      <w:bookmarkStart w:id="10" w:name="O_744386"/>
      <w:bookmarkEnd w:id="10"/>
      <w:r w:rsidRPr="00E7392B">
        <w:t>Assessment Conditions</w:t>
      </w:r>
    </w:p>
    <w:p w:rsidR="00000000" w:rsidRPr="00E7392B" w:rsidP="005A641F">
      <w:pPr>
        <w:pStyle w:val="BodyText"/>
      </w:pPr>
      <w:r w:rsidRPr="00E7392B">
        <w:t xml:space="preserve">Skills and knowledge must be demonstrated in the workplace with the addition of simulations and scenarios where the full range of contexts and situations cannot be provided in the workplace. </w:t>
      </w:r>
    </w:p>
    <w:p w:rsidR="00000000" w:rsidRPr="00E7392B" w:rsidP="005A641F">
      <w:pPr>
        <w:pStyle w:val="BodyText"/>
      </w:pPr>
      <w:r w:rsidRPr="00E7392B">
        <w:t>The following aspect of the performance evidence must have been demonstrated using 10 simulation scenarios prior to demonstration in the workplace or with members of the general public:</w:t>
      </w:r>
    </w:p>
    <w:p w:rsidR="00000000" w:rsidRPr="00E7392B" w:rsidP="00E7392B">
      <w:pPr>
        <w:pStyle w:val="ListBullet"/>
      </w:pPr>
      <w:r w:rsidRPr="00E7392B">
        <w:t xml:space="preserve">applying identified oral health products safely and effectively </w:t>
      </w:r>
    </w:p>
    <w:p w:rsidR="00000000" w:rsidRPr="00E7392B" w:rsidP="00E7392B">
      <w:pPr>
        <w:pStyle w:val="BodyText"/>
      </w:pPr>
    </w:p>
    <w:p w:rsidR="00000000" w:rsidRPr="00E7392B" w:rsidP="005A641F">
      <w:pPr>
        <w:pStyle w:val="Heading3"/>
      </w:pPr>
      <w:r w:rsidRPr="00E7392B">
        <w:t>The</w:t>
      </w:r>
      <w:r w:rsidRPr="00E7392B">
        <w:t xml:space="preserve"> following conditions must be met for this unit</w:t>
      </w:r>
    </w:p>
    <w:p w:rsidR="00000000" w:rsidRPr="00E7392B" w:rsidP="00E7392B">
      <w:pPr>
        <w:pStyle w:val="ListBullet"/>
      </w:pPr>
      <w:r w:rsidRPr="00E7392B">
        <w:t xml:space="preserve">use of suitable equipment and resources, including: </w:t>
      </w:r>
    </w:p>
    <w:p w:rsidR="00000000" w:rsidRPr="00E7392B" w:rsidP="00E7392B">
      <w:pPr>
        <w:pStyle w:val="ListBullet2"/>
      </w:pPr>
      <w:r w:rsidRPr="00E7392B">
        <w:t>age related oral health care resources</w:t>
      </w:r>
    </w:p>
    <w:p w:rsidR="00000000" w:rsidRPr="00E7392B" w:rsidP="00E7392B">
      <w:pPr>
        <w:pStyle w:val="ListBullet2"/>
      </w:pPr>
      <w:r w:rsidRPr="00E7392B">
        <w:t>appropriate personal protective equipment (PPE)</w:t>
      </w:r>
    </w:p>
    <w:p w:rsidR="00000000" w:rsidRPr="00E7392B" w:rsidP="00E7392B">
      <w:pPr>
        <w:pStyle w:val="ListBullet2"/>
      </w:pPr>
      <w:r w:rsidRPr="00E7392B">
        <w:rPr>
          <w:rStyle w:val="Emphasis"/>
        </w:rPr>
        <w:t>Dental board of Australia – dental guidelines</w:t>
      </w:r>
      <w:r w:rsidRPr="00E7392B">
        <w:t xml:space="preserve"> on infection control</w:t>
      </w:r>
      <w:r w:rsidRPr="00E7392B">
        <w:t xml:space="preserve"> on which the candidate bases the planning process</w:t>
      </w:r>
    </w:p>
    <w:p w:rsidR="00000000" w:rsidRPr="00E7392B" w:rsidP="00E7392B">
      <w:pPr>
        <w:pStyle w:val="ListBullet2"/>
      </w:pPr>
      <w:r w:rsidRPr="00E7392B">
        <w:t xml:space="preserve">oral hygiene self-care aids and technique </w:t>
      </w:r>
    </w:p>
    <w:p w:rsidR="00000000" w:rsidRPr="00E7392B" w:rsidP="00E7392B">
      <w:pPr>
        <w:pStyle w:val="ListBullet2"/>
      </w:pPr>
      <w:r w:rsidRPr="00E7392B">
        <w:t xml:space="preserve">specialised equipment, placebo or simulated oral health products utilised in provision of oral hygiene </w:t>
      </w:r>
    </w:p>
    <w:p w:rsidR="00000000" w:rsidRPr="00E7392B" w:rsidP="00E7392B">
      <w:pPr>
        <w:pStyle w:val="ListBullet"/>
      </w:pPr>
      <w:r w:rsidRPr="00E7392B">
        <w:t>modelling of industry operating conditions, including access to people for the simulated scenarios</w:t>
      </w:r>
    </w:p>
    <w:p w:rsidR="00000000" w:rsidRPr="00E7392B" w:rsidP="00E7392B">
      <w:pPr>
        <w:pStyle w:val="BodyText"/>
      </w:pPr>
    </w:p>
    <w:p w:rsidR="00000000" w:rsidRPr="00E7392B" w:rsidP="005A641F">
      <w:pPr>
        <w:pStyle w:val="BodyText"/>
      </w:pPr>
      <w:r w:rsidRPr="00E7392B">
        <w:t>Assessors must satisfy the Standards for Registered Training Organisations (RTOs) 2015/AQTF mandatory competency requirements for assessors.</w:t>
      </w:r>
    </w:p>
    <w:p w:rsidR="00000000" w:rsidRPr="00E7392B" w:rsidP="00E7392B">
      <w:pPr>
        <w:pStyle w:val="Heading1"/>
      </w:pPr>
      <w:bookmarkStart w:id="11" w:name="O_744389"/>
      <w:bookmarkEnd w:id="11"/>
      <w:r w:rsidRPr="00E7392B">
        <w:t>Links</w:t>
      </w:r>
    </w:p>
    <w:p w:rsidR="00000000" w:rsidRPr="00E7392B" w:rsidP="005A641F">
      <w:pPr>
        <w:pStyle w:val="BodyText"/>
      </w:pPr>
      <w:r w:rsidRPr="00E7392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16F6C">
        <w:rPr>
          <w:rStyle w:val="Hyperlink"/>
        </w:rPr>
        <w:t>https://vetnet.gov.au/Pages/TrainingDocs.aspx?q=ced1390f-48d9-4ab0-bd50-b015e5485705</w:t>
      </w:r>
      <w:r>
        <w:fldChar w:fldCharType="end"/>
      </w:r>
    </w:p>
    <w:p w:rsidR="00000000" w:rsidRPr="00E7392B" w:rsidP="00E7392B"/>
    <w:sectPr w:rsidSect="00E739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2B" w:rsidRPr="005A641F" w:rsidP="005A64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41F" w:rsidP="00E739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A641F" w:rsidP="00E739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A641F" w:rsidP="00E739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2B" w:rsidP="00E7392B">
    <w:pPr>
      <w:pStyle w:val="Footer"/>
      <w:framePr w:wrap="around"/>
    </w:pPr>
    <w:r>
      <w:fldChar w:fldCharType="begin"/>
    </w:r>
    <w:r>
      <w:instrText xml:space="preserve"> DOCPROPERTY  Subject  \* MERGEFORMAT </w:instrText>
    </w:r>
    <w:r>
      <w:fldChar w:fldCharType="separate"/>
    </w:r>
    <w:r w:rsidR="005A641F">
      <w:t>Approved</w:t>
    </w:r>
    <w:r w:rsidR="005A641F">
      <w:fldChar w:fldCharType="end"/>
    </w:r>
    <w:r>
      <w:tab/>
      <w:t xml:space="preserve">Page </w:t>
    </w:r>
    <w:r>
      <w:fldChar w:fldCharType="begin"/>
    </w:r>
    <w:r>
      <w:instrText xml:space="preserve"> PAGE  \* Arabic  \* MERGEFORMAT </w:instrText>
    </w:r>
    <w:r>
      <w:fldChar w:fldCharType="separate"/>
    </w:r>
    <w:r w:rsidR="005A641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641F">
      <w:rPr>
        <w:noProof/>
      </w:rPr>
      <w:t>6</w:t>
    </w:r>
    <w:r>
      <w:rPr>
        <w:noProof/>
      </w:rPr>
      <w:fldChar w:fldCharType="end"/>
    </w:r>
  </w:p>
  <w:p w:rsidR="00E7392B" w:rsidP="00E7392B">
    <w:pPr>
      <w:pStyle w:val="Footer"/>
      <w:framePr w:wrap="around"/>
    </w:pPr>
    <w:r>
      <w:t xml:space="preserve">© Commonwealth of Australia, </w:t>
    </w:r>
    <w:r>
      <w:fldChar w:fldCharType="begin"/>
    </w:r>
    <w:r>
      <w:instrText xml:space="preserve"> DATE  \@ "yyyy"  \* MERGEFORMAT </w:instrText>
    </w:r>
    <w:r>
      <w:fldChar w:fldCharType="separate"/>
    </w:r>
    <w:r w:rsidR="005A641F">
      <w:rPr>
        <w:noProof/>
      </w:rPr>
      <w:t>2025</w:t>
    </w:r>
    <w:r>
      <w:fldChar w:fldCharType="end"/>
    </w:r>
    <w:r>
      <w:tab/>
    </w:r>
    <w:r>
      <w:fldChar w:fldCharType="begin"/>
    </w:r>
    <w:r>
      <w:instrText xml:space="preserve"> DOCPROPERTY  Author  \* MERGEFORMAT </w:instrText>
    </w:r>
    <w:r>
      <w:fldChar w:fldCharType="separate"/>
    </w:r>
    <w:r w:rsidR="005A641F">
      <w:t>HumanAbility</w:t>
    </w:r>
    <w:r w:rsidR="005A641F">
      <w:fldChar w:fldCharType="end"/>
    </w:r>
  </w:p>
  <w:p w:rsidR="00E7392B" w:rsidP="00E739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4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92B" w:rsidRPr="005A641F" w:rsidP="005A64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41F" w:rsidRPr="002D2AF8" w:rsidP="00E7392B">
    <w:pPr>
      <w:pStyle w:val="Header"/>
      <w:framePr w:wrap="around"/>
    </w:pPr>
    <w:r>
      <w:fldChar w:fldCharType="begin"/>
    </w:r>
    <w:r>
      <w:instrText xml:space="preserve"> TITLE   \* MERGEFORMAT </w:instrText>
    </w:r>
    <w:r>
      <w:fldChar w:fldCharType="separate"/>
    </w:r>
    <w:r>
      <w:t>HLTOHC003 Apply and manage use of basic oral health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A641F" w:rsidP="00E739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2B" w:rsidRPr="002D2AF8" w:rsidP="00E7392B">
    <w:pPr>
      <w:pStyle w:val="Header"/>
      <w:framePr w:wrap="around"/>
    </w:pPr>
    <w:r>
      <w:fldChar w:fldCharType="begin"/>
    </w:r>
    <w:r>
      <w:instrText xml:space="preserve"> TITLE   \* MERGEFORMAT </w:instrText>
    </w:r>
    <w:r>
      <w:fldChar w:fldCharType="separate"/>
    </w:r>
    <w:r w:rsidR="005A641F">
      <w:t>HLTOHC003 Apply and manage use of basic oral health products</w:t>
    </w:r>
    <w:r w:rsidR="005A641F">
      <w:fldChar w:fldCharType="end"/>
    </w:r>
    <w:r>
      <w:tab/>
      <w:t xml:space="preserve">Date this document was generated: </w:t>
    </w:r>
    <w:r>
      <w:fldChar w:fldCharType="begin"/>
    </w:r>
    <w:r>
      <w:instrText xml:space="preserve"> CREATEDATE  \@ "d MMMM yyyy"  \* MERGEFORMAT </w:instrText>
    </w:r>
    <w:r>
      <w:fldChar w:fldCharType="separate"/>
    </w:r>
    <w:r w:rsidR="005A641F">
      <w:rPr>
        <w:noProof/>
      </w:rPr>
      <w:t>1 March 2025</w:t>
    </w:r>
    <w:r>
      <w:fldChar w:fldCharType="end"/>
    </w:r>
  </w:p>
  <w:p w:rsidR="00E7392B" w:rsidP="00E739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AE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2AC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12B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9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92B"/>
    <w:pPr>
      <w:spacing w:before="360" w:after="60"/>
      <w:outlineLvl w:val="0"/>
    </w:pPr>
    <w:rPr>
      <w:sz w:val="32"/>
    </w:rPr>
  </w:style>
  <w:style w:type="paragraph" w:styleId="Heading2">
    <w:name w:val="heading 2"/>
    <w:basedOn w:val="HeadingBase"/>
    <w:next w:val="BodyText"/>
    <w:link w:val="Heading2Char"/>
    <w:qFormat/>
    <w:rsid w:val="00E7392B"/>
    <w:pPr>
      <w:keepLines/>
      <w:spacing w:before="240" w:after="120"/>
      <w:outlineLvl w:val="1"/>
    </w:pPr>
    <w:rPr>
      <w:sz w:val="28"/>
      <w:szCs w:val="40"/>
    </w:rPr>
  </w:style>
  <w:style w:type="paragraph" w:styleId="Heading3">
    <w:name w:val="heading 3"/>
    <w:basedOn w:val="HeadingBase"/>
    <w:next w:val="BodyText"/>
    <w:link w:val="Heading3Char"/>
    <w:qFormat/>
    <w:rsid w:val="00E7392B"/>
    <w:pPr>
      <w:spacing w:before="180" w:after="120"/>
      <w:outlineLvl w:val="2"/>
    </w:pPr>
    <w:rPr>
      <w:spacing w:val="-10"/>
      <w:kern w:val="32"/>
    </w:rPr>
  </w:style>
  <w:style w:type="paragraph" w:styleId="Heading4">
    <w:name w:val="heading 4"/>
    <w:basedOn w:val="HeadingBase"/>
    <w:next w:val="BodyText"/>
    <w:link w:val="Heading4Char"/>
    <w:qFormat/>
    <w:rsid w:val="00E7392B"/>
    <w:pPr>
      <w:spacing w:before="160" w:after="120"/>
      <w:outlineLvl w:val="3"/>
    </w:pPr>
    <w:rPr>
      <w:sz w:val="22"/>
    </w:rPr>
  </w:style>
  <w:style w:type="paragraph" w:styleId="Heading5">
    <w:name w:val="heading 5"/>
    <w:basedOn w:val="HeadingBase"/>
    <w:next w:val="Normal"/>
    <w:link w:val="Heading5Char"/>
    <w:qFormat/>
    <w:rsid w:val="00E7392B"/>
    <w:pPr>
      <w:spacing w:before="80"/>
      <w:outlineLvl w:val="4"/>
    </w:pPr>
    <w:rPr>
      <w:color w:val="918585"/>
      <w:sz w:val="20"/>
    </w:rPr>
  </w:style>
  <w:style w:type="paragraph" w:styleId="Heading6">
    <w:name w:val="heading 6"/>
    <w:basedOn w:val="HeadingBase"/>
    <w:next w:val="Normal"/>
    <w:link w:val="Heading6Char"/>
    <w:qFormat/>
    <w:rsid w:val="00E7392B"/>
    <w:pPr>
      <w:spacing w:before="60"/>
      <w:outlineLvl w:val="5"/>
    </w:pPr>
    <w:rPr>
      <w:color w:val="918585"/>
      <w:sz w:val="20"/>
    </w:rPr>
  </w:style>
  <w:style w:type="paragraph" w:styleId="Heading7">
    <w:name w:val="heading 7"/>
    <w:basedOn w:val="Normal"/>
    <w:next w:val="Normal"/>
    <w:link w:val="Heading7Char"/>
    <w:qFormat/>
    <w:rsid w:val="00E7392B"/>
    <w:pPr>
      <w:ind w:left="720"/>
      <w:outlineLvl w:val="6"/>
    </w:pPr>
    <w:rPr>
      <w:i/>
    </w:rPr>
  </w:style>
  <w:style w:type="paragraph" w:styleId="Heading8">
    <w:name w:val="heading 8"/>
    <w:basedOn w:val="Normal"/>
    <w:next w:val="Normal"/>
    <w:link w:val="Heading8Char"/>
    <w:qFormat/>
    <w:rsid w:val="00E7392B"/>
    <w:pPr>
      <w:ind w:left="720"/>
      <w:outlineLvl w:val="7"/>
    </w:pPr>
    <w:rPr>
      <w:i/>
    </w:rPr>
  </w:style>
  <w:style w:type="paragraph" w:styleId="Heading9">
    <w:name w:val="heading 9"/>
    <w:basedOn w:val="Normal"/>
    <w:next w:val="Normal"/>
    <w:link w:val="Heading9Char"/>
    <w:qFormat/>
    <w:rsid w:val="00E7392B"/>
    <w:pPr>
      <w:ind w:left="720"/>
      <w:outlineLvl w:val="8"/>
    </w:pPr>
    <w:rPr>
      <w:i/>
    </w:rPr>
  </w:style>
  <w:style w:type="character" w:default="1" w:styleId="DefaultParagraphFont">
    <w:name w:val="Default Paragraph Font"/>
    <w:uiPriority w:val="1"/>
    <w:unhideWhenUsed/>
    <w:rsid w:val="00E739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92B"/>
  </w:style>
  <w:style w:type="character" w:customStyle="1" w:styleId="Heading1Char">
    <w:name w:val="Heading 1 Char"/>
    <w:basedOn w:val="DefaultParagraphFont"/>
    <w:link w:val="Heading1"/>
    <w:rsid w:val="00E7392B"/>
    <w:rPr>
      <w:rFonts w:ascii="Times New Roman" w:eastAsia="Times New Roman" w:hAnsi="Times New Roman" w:cs="Times New Roman"/>
      <w:b/>
      <w:sz w:val="32"/>
      <w:szCs w:val="20"/>
      <w:lang w:eastAsia="en-US"/>
    </w:rPr>
  </w:style>
  <w:style w:type="paragraph" w:styleId="BodyText">
    <w:name w:val="Body Text"/>
    <w:basedOn w:val="Normal"/>
    <w:link w:val="BodyTextChar"/>
    <w:rsid w:val="00E739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92B"/>
    <w:rPr>
      <w:rFonts w:ascii="Times New Roman" w:eastAsia="Times New Roman" w:hAnsi="Times New Roman" w:cs="Times New Roman"/>
      <w:sz w:val="24"/>
      <w:lang w:eastAsia="en-US"/>
    </w:rPr>
  </w:style>
  <w:style w:type="paragraph" w:styleId="ListBullet">
    <w:name w:val="List Bullet"/>
    <w:basedOn w:val="List"/>
    <w:rsid w:val="00E7392B"/>
    <w:pPr>
      <w:numPr>
        <w:numId w:val="14"/>
      </w:numPr>
      <w:tabs>
        <w:tab w:val="clear" w:pos="340"/>
      </w:tabs>
      <w:spacing w:before="40" w:after="40"/>
    </w:pPr>
  </w:style>
  <w:style w:type="character" w:customStyle="1" w:styleId="SpecialBold">
    <w:name w:val="Special Bold"/>
    <w:basedOn w:val="DefaultParagraphFont"/>
    <w:rsid w:val="00E7392B"/>
    <w:rPr>
      <w:b/>
      <w:spacing w:val="0"/>
    </w:rPr>
  </w:style>
  <w:style w:type="paragraph" w:styleId="ListBullet2">
    <w:name w:val="List Bullet 2"/>
    <w:basedOn w:val="List2"/>
    <w:rsid w:val="00E7392B"/>
    <w:pPr>
      <w:numPr>
        <w:numId w:val="15"/>
      </w:numPr>
      <w:tabs>
        <w:tab w:val="clear" w:pos="680"/>
      </w:tabs>
    </w:pPr>
  </w:style>
  <w:style w:type="character" w:styleId="Emphasis">
    <w:name w:val="Emphasis"/>
    <w:basedOn w:val="DefaultParagraphFont"/>
    <w:qFormat/>
    <w:rsid w:val="00E7392B"/>
    <w:rPr>
      <w:i/>
    </w:rPr>
  </w:style>
  <w:style w:type="paragraph" w:customStyle="1" w:styleId="SuperHeading">
    <w:name w:val="SuperHeading"/>
    <w:basedOn w:val="Normal"/>
    <w:rsid w:val="00E7392B"/>
    <w:pPr>
      <w:spacing w:before="240" w:after="120"/>
      <w:outlineLvl w:val="0"/>
    </w:pPr>
    <w:rPr>
      <w:rFonts w:ascii="Times New Roman" w:hAnsi="Times New Roman"/>
      <w:b/>
      <w:sz w:val="32"/>
    </w:rPr>
  </w:style>
  <w:style w:type="paragraph" w:customStyle="1" w:styleId="AllowPageBreak">
    <w:name w:val="AllowPageBreak"/>
    <w:rsid w:val="00E739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392B"/>
    <w:pPr>
      <w:numPr>
        <w:numId w:val="3"/>
      </w:numPr>
      <w:tabs>
        <w:tab w:val="clear" w:pos="1021"/>
      </w:tabs>
      <w:ind w:left="1037" w:hanging="357"/>
    </w:pPr>
  </w:style>
  <w:style w:type="paragraph" w:styleId="ListBullet4">
    <w:name w:val="List Bullet 4"/>
    <w:basedOn w:val="List4"/>
    <w:rsid w:val="00E7392B"/>
    <w:pPr>
      <w:numPr>
        <w:numId w:val="4"/>
      </w:numPr>
      <w:tabs>
        <w:tab w:val="clear" w:pos="1361"/>
      </w:tabs>
    </w:pPr>
  </w:style>
  <w:style w:type="character" w:customStyle="1" w:styleId="BoldandItalics">
    <w:name w:val="Bold and Italics"/>
    <w:qFormat/>
    <w:rsid w:val="00E7392B"/>
    <w:rPr>
      <w:b/>
      <w:i/>
      <w:u w:val="none"/>
    </w:rPr>
  </w:style>
  <w:style w:type="character" w:customStyle="1" w:styleId="Heading2Char">
    <w:name w:val="Heading 2 Char"/>
    <w:basedOn w:val="DefaultParagraphFont"/>
    <w:link w:val="Heading2"/>
    <w:rsid w:val="00E739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9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9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9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9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9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9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92B"/>
    <w:rPr>
      <w:rFonts w:ascii="Courier New" w:eastAsia="Times New Roman" w:hAnsi="Courier New" w:cs="Times New Roman"/>
      <w:i/>
      <w:szCs w:val="20"/>
      <w:lang w:eastAsia="en-US"/>
    </w:rPr>
  </w:style>
  <w:style w:type="paragraph" w:customStyle="1" w:styleId="HeadingBase">
    <w:name w:val="Heading Base"/>
    <w:rsid w:val="00E739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92B"/>
    <w:pPr>
      <w:tabs>
        <w:tab w:val="right" w:leader="dot" w:pos="9072"/>
      </w:tabs>
      <w:ind w:left="567"/>
    </w:pPr>
    <w:rPr>
      <w:szCs w:val="22"/>
    </w:rPr>
  </w:style>
  <w:style w:type="paragraph" w:customStyle="1" w:styleId="TOCBase">
    <w:name w:val="TOC Base"/>
    <w:rsid w:val="00E739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92B"/>
    <w:pPr>
      <w:tabs>
        <w:tab w:val="right" w:leader="dot" w:pos="9072"/>
      </w:tabs>
      <w:spacing w:before="40" w:after="40"/>
      <w:ind w:left="284"/>
    </w:pPr>
    <w:rPr>
      <w:rFonts w:ascii="Times New Roman" w:hAnsi="Times New Roman"/>
    </w:rPr>
  </w:style>
  <w:style w:type="paragraph" w:styleId="TOC1">
    <w:name w:val="toc 1"/>
    <w:basedOn w:val="TOCBase"/>
    <w:next w:val="Normal"/>
    <w:rsid w:val="00E739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9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92B"/>
    <w:rPr>
      <w:rFonts w:ascii="Times New Roman" w:eastAsia="Times New Roman" w:hAnsi="Times New Roman" w:cs="Times New Roman"/>
      <w:sz w:val="16"/>
      <w:lang w:eastAsia="en-US"/>
    </w:rPr>
  </w:style>
  <w:style w:type="paragraph" w:styleId="Title">
    <w:name w:val="Title"/>
    <w:basedOn w:val="HeadingBase"/>
    <w:link w:val="TitleChar"/>
    <w:qFormat/>
    <w:rsid w:val="00E7392B"/>
    <w:pPr>
      <w:spacing w:before="5040"/>
      <w:jc w:val="center"/>
    </w:pPr>
    <w:rPr>
      <w:sz w:val="48"/>
      <w:szCs w:val="72"/>
      <w:lang w:val="en-US"/>
    </w:rPr>
  </w:style>
  <w:style w:type="character" w:customStyle="1" w:styleId="TitleChar">
    <w:name w:val="Title Char"/>
    <w:basedOn w:val="DefaultParagraphFont"/>
    <w:link w:val="Title"/>
    <w:rsid w:val="00E739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92B"/>
    <w:pPr>
      <w:tabs>
        <w:tab w:val="left" w:pos="3600"/>
        <w:tab w:val="left" w:pos="3958"/>
      </w:tabs>
    </w:pPr>
  </w:style>
  <w:style w:type="paragraph" w:styleId="List">
    <w:name w:val="List"/>
    <w:basedOn w:val="BodyText"/>
    <w:next w:val="BodyText"/>
    <w:rsid w:val="00E7392B"/>
    <w:pPr>
      <w:tabs>
        <w:tab w:val="left" w:pos="340"/>
      </w:tabs>
      <w:spacing w:before="60" w:after="60"/>
      <w:ind w:left="340" w:hanging="340"/>
    </w:pPr>
  </w:style>
  <w:style w:type="paragraph" w:customStyle="1" w:styleId="Note">
    <w:name w:val="Note"/>
    <w:basedOn w:val="BodyText"/>
    <w:rsid w:val="00E739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92B"/>
    <w:pPr>
      <w:framePr w:wrap="auto" w:hAnchor="text" w:y="6049"/>
    </w:pPr>
    <w:rPr>
      <w:color w:val="000000"/>
      <w:sz w:val="40"/>
    </w:rPr>
  </w:style>
  <w:style w:type="paragraph" w:customStyle="1" w:styleId="TOCTitle">
    <w:name w:val="TOCTitle"/>
    <w:basedOn w:val="Heading1"/>
    <w:rsid w:val="00E7392B"/>
    <w:pPr>
      <w:spacing w:after="240"/>
      <w:jc w:val="center"/>
      <w:outlineLvl w:val="9"/>
    </w:pPr>
    <w:rPr>
      <w:caps/>
    </w:rPr>
  </w:style>
  <w:style w:type="paragraph" w:customStyle="1" w:styleId="Version">
    <w:name w:val="Version"/>
    <w:rsid w:val="00E739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92B"/>
    <w:pPr>
      <w:keepNext w:val="0"/>
      <w:tabs>
        <w:tab w:val="right" w:pos="4176"/>
      </w:tabs>
      <w:ind w:left="198" w:hanging="198"/>
    </w:pPr>
    <w:rPr>
      <w:rFonts w:ascii="Garamond" w:hAnsi="Garamond"/>
    </w:rPr>
  </w:style>
  <w:style w:type="paragraph" w:styleId="IndexHeading">
    <w:name w:val="index heading"/>
    <w:basedOn w:val="Normal"/>
    <w:next w:val="Index1"/>
    <w:semiHidden/>
    <w:rsid w:val="00E7392B"/>
    <w:pPr>
      <w:spacing w:before="120" w:after="120"/>
    </w:pPr>
    <w:rPr>
      <w:rFonts w:ascii="Arial" w:hAnsi="Arial"/>
      <w:b/>
      <w:color w:val="918585"/>
      <w:sz w:val="24"/>
    </w:rPr>
  </w:style>
  <w:style w:type="paragraph" w:styleId="Header">
    <w:name w:val="header"/>
    <w:basedOn w:val="Normal"/>
    <w:link w:val="HeaderChar"/>
    <w:rsid w:val="00E739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92B"/>
    <w:rPr>
      <w:rFonts w:ascii="Times New Roman" w:eastAsia="Times New Roman" w:hAnsi="Times New Roman" w:cs="Times New Roman"/>
      <w:sz w:val="16"/>
      <w:szCs w:val="20"/>
      <w:lang w:val="en-GB" w:eastAsia="en-US"/>
    </w:rPr>
  </w:style>
  <w:style w:type="paragraph" w:customStyle="1" w:styleId="Chapter">
    <w:name w:val="Chapter"/>
    <w:basedOn w:val="Normal"/>
    <w:rsid w:val="00E7392B"/>
    <w:pPr>
      <w:spacing w:before="240"/>
    </w:pPr>
    <w:rPr>
      <w:rFonts w:ascii="Times New Roman" w:hAnsi="Times New Roman"/>
      <w:smallCaps/>
      <w:spacing w:val="80"/>
      <w:sz w:val="28"/>
    </w:rPr>
  </w:style>
  <w:style w:type="paragraph" w:customStyle="1" w:styleId="InChapter">
    <w:name w:val="InChapter"/>
    <w:basedOn w:val="Heading3"/>
    <w:rsid w:val="00E7392B"/>
    <w:pPr>
      <w:spacing w:after="240"/>
      <w:outlineLvl w:val="9"/>
    </w:pPr>
    <w:rPr>
      <w:noProof/>
    </w:rPr>
  </w:style>
  <w:style w:type="paragraph" w:styleId="Index2">
    <w:name w:val="index 2"/>
    <w:basedOn w:val="Normal"/>
    <w:next w:val="Normal"/>
    <w:semiHidden/>
    <w:rsid w:val="00E7392B"/>
    <w:pPr>
      <w:tabs>
        <w:tab w:val="right" w:pos="4176"/>
      </w:tabs>
      <w:ind w:left="568" w:hanging="284"/>
    </w:pPr>
    <w:rPr>
      <w:rFonts w:ascii="Garamond" w:hAnsi="Garamond"/>
    </w:rPr>
  </w:style>
  <w:style w:type="paragraph" w:customStyle="1" w:styleId="Byline">
    <w:name w:val="Byline"/>
    <w:rsid w:val="00E739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92B"/>
    <w:pPr>
      <w:tabs>
        <w:tab w:val="clear" w:pos="3600"/>
        <w:tab w:val="clear" w:pos="3958"/>
      </w:tabs>
      <w:jc w:val="right"/>
    </w:pPr>
  </w:style>
  <w:style w:type="paragraph" w:styleId="Caption">
    <w:name w:val="caption"/>
    <w:basedOn w:val="BodyText"/>
    <w:next w:val="Normal"/>
    <w:qFormat/>
    <w:rsid w:val="00E7392B"/>
    <w:pPr>
      <w:framePr w:w="2268" w:hSpace="181" w:vSpace="181" w:wrap="around" w:vAnchor="text" w:hAnchor="page" w:x="1135" w:y="285" w:anchorLock="1"/>
    </w:pPr>
    <w:rPr>
      <w:i/>
    </w:rPr>
  </w:style>
  <w:style w:type="paragraph" w:customStyle="1" w:styleId="MiniTOCTitle">
    <w:name w:val="MiniTOCTitle"/>
    <w:basedOn w:val="Heading4"/>
    <w:rsid w:val="00E7392B"/>
    <w:pPr>
      <w:spacing w:before="240"/>
      <w:outlineLvl w:val="9"/>
    </w:pPr>
    <w:rPr>
      <w:noProof/>
      <w:sz w:val="24"/>
    </w:rPr>
  </w:style>
  <w:style w:type="paragraph" w:customStyle="1" w:styleId="MiniTOCItem">
    <w:name w:val="MiniTOCItem"/>
    <w:basedOn w:val="ListBullet"/>
    <w:rsid w:val="00E7392B"/>
    <w:pPr>
      <w:numPr>
        <w:numId w:val="0"/>
      </w:numPr>
      <w:tabs>
        <w:tab w:val="right" w:leader="dot" w:pos="6521"/>
      </w:tabs>
      <w:spacing w:before="0" w:after="0"/>
    </w:pPr>
  </w:style>
  <w:style w:type="paragraph" w:customStyle="1" w:styleId="TOFTitle">
    <w:name w:val="TOFTitle"/>
    <w:basedOn w:val="TOCTitle"/>
    <w:rsid w:val="00E7392B"/>
  </w:style>
  <w:style w:type="paragraph" w:styleId="TableofFigures">
    <w:name w:val="table of figures"/>
    <w:basedOn w:val="Normal"/>
    <w:next w:val="Normal"/>
    <w:semiHidden/>
    <w:rsid w:val="00E7392B"/>
    <w:pPr>
      <w:tabs>
        <w:tab w:val="right" w:leader="dot" w:pos="9072"/>
      </w:tabs>
      <w:ind w:left="970" w:hanging="403"/>
    </w:pPr>
    <w:rPr>
      <w:rFonts w:ascii="Times New Roman" w:hAnsi="Times New Roman"/>
      <w:b/>
    </w:rPr>
  </w:style>
  <w:style w:type="paragraph" w:styleId="ListNumber">
    <w:name w:val="List Number"/>
    <w:basedOn w:val="List"/>
    <w:rsid w:val="00E7392B"/>
    <w:pPr>
      <w:numPr>
        <w:numId w:val="17"/>
      </w:numPr>
      <w:tabs>
        <w:tab w:val="clear" w:pos="340"/>
      </w:tabs>
    </w:pPr>
  </w:style>
  <w:style w:type="character" w:customStyle="1" w:styleId="WingdingSymbols">
    <w:name w:val="Wingding Symbols"/>
    <w:rsid w:val="00E7392B"/>
    <w:rPr>
      <w:rFonts w:ascii="Wingdings" w:hAnsi="Wingdings"/>
    </w:rPr>
  </w:style>
  <w:style w:type="paragraph" w:customStyle="1" w:styleId="TableHeading">
    <w:name w:val="Table Heading"/>
    <w:basedOn w:val="HeadingBase"/>
    <w:rsid w:val="00E7392B"/>
    <w:pPr>
      <w:keepLines/>
      <w:pBdr>
        <w:bottom w:val="single" w:sz="6" w:space="1" w:color="918585"/>
      </w:pBdr>
      <w:spacing w:before="240"/>
    </w:pPr>
  </w:style>
  <w:style w:type="character" w:customStyle="1" w:styleId="HotSpot">
    <w:name w:val="HotSpot"/>
    <w:rsid w:val="00E7392B"/>
    <w:rPr>
      <w:color w:val="0033CC"/>
      <w:u w:val="none"/>
    </w:rPr>
  </w:style>
  <w:style w:type="paragraph" w:customStyle="1" w:styleId="BodyTextRight">
    <w:name w:val="Body Text Right"/>
    <w:basedOn w:val="BodyText"/>
    <w:rsid w:val="00E7392B"/>
    <w:pPr>
      <w:spacing w:before="0" w:after="0"/>
      <w:jc w:val="right"/>
    </w:pPr>
  </w:style>
  <w:style w:type="paragraph" w:styleId="Index3">
    <w:name w:val="index 3"/>
    <w:basedOn w:val="ListNumber2"/>
    <w:next w:val="Normal"/>
    <w:semiHidden/>
    <w:rsid w:val="00E7392B"/>
    <w:pPr>
      <w:numPr>
        <w:numId w:val="0"/>
      </w:numPr>
      <w:tabs>
        <w:tab w:val="right" w:leader="dot" w:pos="4176"/>
      </w:tabs>
    </w:pPr>
  </w:style>
  <w:style w:type="paragraph" w:styleId="ListNumber2">
    <w:name w:val="List Number 2"/>
    <w:basedOn w:val="List2"/>
    <w:rsid w:val="00E7392B"/>
    <w:pPr>
      <w:numPr>
        <w:numId w:val="12"/>
      </w:numPr>
      <w:tabs>
        <w:tab w:val="clear" w:pos="1060"/>
      </w:tabs>
    </w:pPr>
  </w:style>
  <w:style w:type="paragraph" w:customStyle="1" w:styleId="MarginNote">
    <w:name w:val="Margin Note"/>
    <w:basedOn w:val="BodyText"/>
    <w:rsid w:val="00E739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9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9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92B"/>
    <w:rPr>
      <w:sz w:val="32"/>
    </w:rPr>
  </w:style>
  <w:style w:type="paragraph" w:customStyle="1" w:styleId="HeadingProcedure">
    <w:name w:val="Heading Procedure"/>
    <w:basedOn w:val="HeadingBase"/>
    <w:next w:val="Normal"/>
    <w:rsid w:val="00E7392B"/>
    <w:pPr>
      <w:tabs>
        <w:tab w:val="left" w:pos="0"/>
      </w:tabs>
      <w:spacing w:before="120" w:after="60"/>
    </w:pPr>
    <w:rPr>
      <w:i/>
      <w:color w:val="918585"/>
      <w:sz w:val="22"/>
    </w:rPr>
  </w:style>
  <w:style w:type="paragraph" w:customStyle="1" w:styleId="TableBodyText">
    <w:name w:val="Table Body Text"/>
    <w:basedOn w:val="BodyText"/>
    <w:rsid w:val="00E7392B"/>
    <w:pPr>
      <w:spacing w:before="60" w:after="60"/>
    </w:pPr>
  </w:style>
  <w:style w:type="paragraph" w:styleId="ListContinue">
    <w:name w:val="List Continue"/>
    <w:basedOn w:val="List"/>
    <w:rsid w:val="00E7392B"/>
    <w:pPr>
      <w:ind w:firstLine="0"/>
    </w:pPr>
  </w:style>
  <w:style w:type="paragraph" w:customStyle="1" w:styleId="ListNote">
    <w:name w:val="List Note"/>
    <w:basedOn w:val="List"/>
    <w:rsid w:val="00E7392B"/>
    <w:pPr>
      <w:pBdr>
        <w:top w:val="single" w:sz="6" w:space="2" w:color="918585"/>
        <w:bottom w:val="single" w:sz="6" w:space="2" w:color="918585"/>
      </w:pBdr>
      <w:tabs>
        <w:tab w:val="left" w:pos="1021"/>
      </w:tabs>
      <w:ind w:firstLine="0"/>
    </w:pPr>
  </w:style>
  <w:style w:type="paragraph" w:customStyle="1" w:styleId="Warning">
    <w:name w:val="Warning"/>
    <w:basedOn w:val="BodyText"/>
    <w:rsid w:val="00E7392B"/>
    <w:pPr>
      <w:shd w:val="clear" w:color="auto" w:fill="D9D9D9"/>
      <w:tabs>
        <w:tab w:val="left" w:pos="992"/>
      </w:tabs>
      <w:ind w:left="119" w:right="119"/>
    </w:pPr>
    <w:rPr>
      <w:sz w:val="20"/>
    </w:rPr>
  </w:style>
  <w:style w:type="paragraph" w:customStyle="1" w:styleId="MarginIcons">
    <w:name w:val="Margin Icons"/>
    <w:basedOn w:val="BodyText"/>
    <w:rsid w:val="00E739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92B"/>
    <w:rPr>
      <w:rFonts w:ascii="Courier New" w:hAnsi="Courier New"/>
    </w:rPr>
  </w:style>
  <w:style w:type="paragraph" w:customStyle="1" w:styleId="NoteBullet">
    <w:name w:val="Note Bullet"/>
    <w:basedOn w:val="Note"/>
    <w:rsid w:val="00E7392B"/>
    <w:pPr>
      <w:tabs>
        <w:tab w:val="clear" w:pos="680"/>
      </w:tabs>
      <w:spacing w:before="60" w:after="60"/>
    </w:pPr>
  </w:style>
  <w:style w:type="paragraph" w:customStyle="1" w:styleId="SubHeading2">
    <w:name w:val="SubHeading2"/>
    <w:basedOn w:val="HeadingBase"/>
    <w:rsid w:val="00E7392B"/>
    <w:pPr>
      <w:spacing w:before="240" w:after="60"/>
    </w:pPr>
    <w:rPr>
      <w:sz w:val="20"/>
    </w:rPr>
  </w:style>
  <w:style w:type="paragraph" w:customStyle="1" w:styleId="SubHeading1">
    <w:name w:val="SubHeading1"/>
    <w:basedOn w:val="HeadingBase"/>
    <w:rsid w:val="00E7392B"/>
    <w:pPr>
      <w:spacing w:before="240" w:after="60"/>
    </w:pPr>
    <w:rPr>
      <w:color w:val="918585"/>
      <w:sz w:val="22"/>
    </w:rPr>
  </w:style>
  <w:style w:type="paragraph" w:customStyle="1" w:styleId="SideHeading">
    <w:name w:val="Side Heading"/>
    <w:basedOn w:val="HeadingBase"/>
    <w:rsid w:val="00E739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92B"/>
    <w:pPr>
      <w:numPr>
        <w:numId w:val="13"/>
      </w:numPr>
    </w:pPr>
  </w:style>
  <w:style w:type="paragraph" w:styleId="PlainText">
    <w:name w:val="Plain Text"/>
    <w:basedOn w:val="Normal"/>
    <w:link w:val="PlainTextChar"/>
    <w:rsid w:val="00E7392B"/>
    <w:rPr>
      <w:sz w:val="20"/>
    </w:rPr>
  </w:style>
  <w:style w:type="character" w:customStyle="1" w:styleId="PlainTextChar">
    <w:name w:val="Plain Text Char"/>
    <w:basedOn w:val="DefaultParagraphFont"/>
    <w:link w:val="PlainText"/>
    <w:rsid w:val="00E7392B"/>
    <w:rPr>
      <w:rFonts w:ascii="Courier New" w:eastAsia="Times New Roman" w:hAnsi="Courier New" w:cs="Times New Roman"/>
      <w:sz w:val="20"/>
      <w:szCs w:val="20"/>
      <w:lang w:eastAsia="en-US"/>
    </w:rPr>
  </w:style>
  <w:style w:type="character" w:customStyle="1" w:styleId="MenuOption">
    <w:name w:val="Menu Option"/>
    <w:basedOn w:val="DefaultParagraphFont"/>
    <w:rsid w:val="00E7392B"/>
    <w:rPr>
      <w:b/>
      <w:smallCaps/>
    </w:rPr>
  </w:style>
  <w:style w:type="paragraph" w:customStyle="1" w:styleId="TableListNumber">
    <w:name w:val="Table List Number"/>
    <w:basedOn w:val="ListNumber"/>
    <w:rsid w:val="00E7392B"/>
    <w:pPr>
      <w:numPr>
        <w:numId w:val="0"/>
      </w:numPr>
    </w:pPr>
  </w:style>
  <w:style w:type="paragraph" w:styleId="TOC4">
    <w:name w:val="toc 4"/>
    <w:basedOn w:val="TOCBase"/>
    <w:next w:val="Normal"/>
    <w:semiHidden/>
    <w:rsid w:val="00E7392B"/>
    <w:pPr>
      <w:tabs>
        <w:tab w:val="right" w:leader="dot" w:pos="9071"/>
      </w:tabs>
      <w:ind w:left="1701"/>
    </w:pPr>
  </w:style>
  <w:style w:type="paragraph" w:customStyle="1" w:styleId="ListAlpha">
    <w:name w:val="List Alpha"/>
    <w:basedOn w:val="List"/>
    <w:rsid w:val="00E7392B"/>
    <w:pPr>
      <w:numPr>
        <w:numId w:val="11"/>
      </w:numPr>
    </w:pPr>
  </w:style>
  <w:style w:type="paragraph" w:customStyle="1" w:styleId="ListAlpha2">
    <w:name w:val="List Alpha 2"/>
    <w:basedOn w:val="List2"/>
    <w:rsid w:val="00E7392B"/>
    <w:pPr>
      <w:numPr>
        <w:numId w:val="10"/>
      </w:numPr>
    </w:pPr>
  </w:style>
  <w:style w:type="paragraph" w:styleId="List2">
    <w:name w:val="List 2"/>
    <w:basedOn w:val="BodyText"/>
    <w:rsid w:val="00E7392B"/>
    <w:pPr>
      <w:tabs>
        <w:tab w:val="left" w:pos="680"/>
      </w:tabs>
      <w:spacing w:before="60" w:after="60"/>
      <w:ind w:left="680" w:hanging="340"/>
    </w:pPr>
  </w:style>
  <w:style w:type="paragraph" w:styleId="List3">
    <w:name w:val="List 3"/>
    <w:basedOn w:val="BodyText"/>
    <w:rsid w:val="00E7392B"/>
    <w:pPr>
      <w:tabs>
        <w:tab w:val="left" w:pos="1021"/>
      </w:tabs>
      <w:spacing w:before="60" w:after="60"/>
      <w:ind w:left="1020" w:hanging="340"/>
    </w:pPr>
  </w:style>
  <w:style w:type="paragraph" w:styleId="List4">
    <w:name w:val="List 4"/>
    <w:basedOn w:val="BodyText"/>
    <w:rsid w:val="00E7392B"/>
    <w:pPr>
      <w:tabs>
        <w:tab w:val="left" w:pos="1361"/>
      </w:tabs>
      <w:spacing w:before="60" w:after="60"/>
      <w:ind w:left="1361" w:hanging="340"/>
    </w:pPr>
  </w:style>
  <w:style w:type="paragraph" w:styleId="List5">
    <w:name w:val="List 5"/>
    <w:basedOn w:val="BodyText"/>
    <w:rsid w:val="00E7392B"/>
    <w:pPr>
      <w:tabs>
        <w:tab w:val="left" w:pos="1701"/>
      </w:tabs>
      <w:spacing w:before="60" w:after="60"/>
      <w:ind w:left="1701" w:hanging="340"/>
    </w:pPr>
  </w:style>
  <w:style w:type="paragraph" w:styleId="ListBullet5">
    <w:name w:val="List Bullet 5"/>
    <w:basedOn w:val="List5"/>
    <w:rsid w:val="00E7392B"/>
    <w:pPr>
      <w:numPr>
        <w:numId w:val="6"/>
      </w:numPr>
    </w:pPr>
  </w:style>
  <w:style w:type="paragraph" w:styleId="ListContinue2">
    <w:name w:val="List Continue 2"/>
    <w:basedOn w:val="List2"/>
    <w:rsid w:val="00E7392B"/>
    <w:pPr>
      <w:ind w:firstLine="0"/>
    </w:pPr>
  </w:style>
  <w:style w:type="paragraph" w:styleId="ListContinue3">
    <w:name w:val="List Continue 3"/>
    <w:basedOn w:val="List3"/>
    <w:rsid w:val="00E7392B"/>
    <w:pPr>
      <w:ind w:left="1021" w:firstLine="0"/>
    </w:pPr>
  </w:style>
  <w:style w:type="paragraph" w:styleId="ListContinue4">
    <w:name w:val="List Continue 4"/>
    <w:basedOn w:val="List4"/>
    <w:rsid w:val="00E7392B"/>
    <w:pPr>
      <w:ind w:firstLine="0"/>
    </w:pPr>
  </w:style>
  <w:style w:type="paragraph" w:styleId="ListContinue5">
    <w:name w:val="List Continue 5"/>
    <w:basedOn w:val="List5"/>
    <w:rsid w:val="00E7392B"/>
    <w:pPr>
      <w:ind w:firstLine="0"/>
    </w:pPr>
  </w:style>
  <w:style w:type="paragraph" w:styleId="ListNumber3">
    <w:name w:val="List Number 3"/>
    <w:basedOn w:val="List3"/>
    <w:rsid w:val="00E7392B"/>
    <w:pPr>
      <w:numPr>
        <w:numId w:val="7"/>
      </w:numPr>
    </w:pPr>
  </w:style>
  <w:style w:type="paragraph" w:styleId="ListNumber4">
    <w:name w:val="List Number 4"/>
    <w:basedOn w:val="List4"/>
    <w:rsid w:val="00E7392B"/>
    <w:pPr>
      <w:numPr>
        <w:numId w:val="8"/>
      </w:numPr>
    </w:pPr>
  </w:style>
  <w:style w:type="paragraph" w:styleId="ListNumber5">
    <w:name w:val="List Number 5"/>
    <w:basedOn w:val="List5"/>
    <w:rsid w:val="00E7392B"/>
    <w:pPr>
      <w:numPr>
        <w:numId w:val="9"/>
      </w:numPr>
    </w:pPr>
  </w:style>
  <w:style w:type="paragraph" w:styleId="BlockText">
    <w:name w:val="Block Text"/>
    <w:basedOn w:val="Normal"/>
    <w:rsid w:val="00E7392B"/>
    <w:pPr>
      <w:spacing w:after="120"/>
      <w:ind w:left="1440" w:right="1440"/>
    </w:pPr>
  </w:style>
  <w:style w:type="character" w:customStyle="1" w:styleId="Subscript">
    <w:name w:val="Subscript"/>
    <w:basedOn w:val="DefaultParagraphFont"/>
    <w:rsid w:val="00E7392B"/>
    <w:rPr>
      <w:sz w:val="16"/>
      <w:vertAlign w:val="subscript"/>
    </w:rPr>
  </w:style>
  <w:style w:type="character" w:customStyle="1" w:styleId="Superscript">
    <w:name w:val="Superscript"/>
    <w:basedOn w:val="DefaultParagraphFont"/>
    <w:rsid w:val="00E7392B"/>
    <w:rPr>
      <w:sz w:val="16"/>
      <w:vertAlign w:val="superscript"/>
    </w:rPr>
  </w:style>
  <w:style w:type="character" w:customStyle="1" w:styleId="Symbols">
    <w:name w:val="Symbols"/>
    <w:basedOn w:val="DefaultParagraphFont"/>
    <w:rsid w:val="00E7392B"/>
    <w:rPr>
      <w:rFonts w:ascii="Symbol" w:hAnsi="Symbol"/>
    </w:rPr>
  </w:style>
  <w:style w:type="character" w:customStyle="1" w:styleId="MenuOptions">
    <w:name w:val="Menu Options"/>
    <w:basedOn w:val="DefaultParagraphFont"/>
    <w:rsid w:val="00E7392B"/>
    <w:rPr>
      <w:rFonts w:ascii="Arial Narrow" w:hAnsi="Arial Narrow"/>
      <w:smallCaps/>
    </w:rPr>
  </w:style>
  <w:style w:type="character" w:customStyle="1" w:styleId="Buttons">
    <w:name w:val="Buttons"/>
    <w:basedOn w:val="DefaultParagraphFont"/>
    <w:rsid w:val="00E7392B"/>
    <w:rPr>
      <w:b/>
    </w:rPr>
  </w:style>
  <w:style w:type="character" w:customStyle="1" w:styleId="Underlined">
    <w:name w:val="Underlined"/>
    <w:basedOn w:val="DefaultParagraphFont"/>
    <w:rsid w:val="00E7392B"/>
    <w:rPr>
      <w:u w:val="single"/>
    </w:rPr>
  </w:style>
  <w:style w:type="paragraph" w:customStyle="1" w:styleId="TableBodyTextRight">
    <w:name w:val="Table Body Text Right"/>
    <w:basedOn w:val="TableBodyText"/>
    <w:rsid w:val="00E7392B"/>
    <w:pPr>
      <w:widowControl w:val="0"/>
      <w:autoSpaceDE w:val="0"/>
      <w:autoSpaceDN w:val="0"/>
      <w:adjustRightInd w:val="0"/>
      <w:jc w:val="right"/>
    </w:pPr>
    <w:rPr>
      <w:rFonts w:cs="Arial"/>
      <w:szCs w:val="18"/>
    </w:rPr>
  </w:style>
  <w:style w:type="paragraph" w:customStyle="1" w:styleId="CopyrightText">
    <w:name w:val="Copyright Text"/>
    <w:basedOn w:val="BodyText"/>
    <w:rsid w:val="00E7392B"/>
    <w:rPr>
      <w:sz w:val="18"/>
    </w:rPr>
  </w:style>
  <w:style w:type="paragraph" w:customStyle="1" w:styleId="BodySmallRight">
    <w:name w:val="Body Small Right"/>
    <w:basedOn w:val="BodyTextRight"/>
    <w:rsid w:val="00E7392B"/>
    <w:rPr>
      <w:sz w:val="18"/>
      <w:szCs w:val="18"/>
    </w:rPr>
  </w:style>
  <w:style w:type="paragraph" w:customStyle="1" w:styleId="MarginEdition">
    <w:name w:val="Margin Edition"/>
    <w:basedOn w:val="MarginNote"/>
    <w:rsid w:val="00E7392B"/>
    <w:pPr>
      <w:spacing w:before="0" w:after="0"/>
    </w:pPr>
    <w:rPr>
      <w:rFonts w:ascii="Times New Roman" w:hAnsi="Times New Roman"/>
      <w:color w:val="999999"/>
    </w:rPr>
  </w:style>
  <w:style w:type="paragraph" w:customStyle="1" w:styleId="Spacer">
    <w:name w:val="Spacer"/>
    <w:basedOn w:val="Normal"/>
    <w:rsid w:val="00E7392B"/>
    <w:rPr>
      <w:sz w:val="2"/>
      <w:szCs w:val="2"/>
    </w:rPr>
  </w:style>
  <w:style w:type="character" w:customStyle="1" w:styleId="Small">
    <w:name w:val="Small"/>
    <w:basedOn w:val="DefaultParagraphFont"/>
    <w:rsid w:val="00E7392B"/>
    <w:rPr>
      <w:sz w:val="16"/>
    </w:rPr>
  </w:style>
  <w:style w:type="paragraph" w:customStyle="1" w:styleId="WideTable">
    <w:name w:val="Wide Table"/>
    <w:basedOn w:val="Normal"/>
    <w:rsid w:val="00E7392B"/>
    <w:pPr>
      <w:ind w:left="-1418"/>
    </w:pPr>
    <w:rPr>
      <w:sz w:val="2"/>
      <w:szCs w:val="2"/>
    </w:rPr>
  </w:style>
  <w:style w:type="character" w:styleId="PageNumber">
    <w:name w:val="page number"/>
    <w:basedOn w:val="DefaultParagraphFont"/>
    <w:rsid w:val="00E7392B"/>
  </w:style>
  <w:style w:type="paragraph" w:styleId="Quote">
    <w:name w:val="Quote"/>
    <w:basedOn w:val="Heading1"/>
    <w:link w:val="QuoteChar"/>
    <w:qFormat/>
    <w:rsid w:val="00E7392B"/>
    <w:rPr>
      <w:b w:val="0"/>
      <w:sz w:val="72"/>
      <w:szCs w:val="72"/>
      <w:lang w:val="en-NZ"/>
    </w:rPr>
  </w:style>
  <w:style w:type="character" w:customStyle="1" w:styleId="QuoteChar">
    <w:name w:val="Quote Char"/>
    <w:basedOn w:val="DefaultParagraphFont"/>
    <w:link w:val="Quote"/>
    <w:rsid w:val="00E739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92B"/>
    <w:pPr>
      <w:pageBreakBefore/>
    </w:pPr>
  </w:style>
  <w:style w:type="paragraph" w:customStyle="1" w:styleId="Border">
    <w:name w:val="Border"/>
    <w:basedOn w:val="Normal"/>
    <w:qFormat/>
    <w:rsid w:val="00E739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92B"/>
    <w:rPr>
      <w:b/>
      <w:bCs/>
      <w:i/>
      <w:iCs/>
      <w:color w:val="auto"/>
    </w:rPr>
  </w:style>
  <w:style w:type="paragraph" w:styleId="IntenseQuote">
    <w:name w:val="Intense Quote"/>
    <w:basedOn w:val="Normal"/>
    <w:next w:val="Normal"/>
    <w:link w:val="IntenseQuoteChar"/>
    <w:uiPriority w:val="30"/>
    <w:qFormat/>
    <w:rsid w:val="00E739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9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92B"/>
    <w:rPr>
      <w:smallCaps/>
      <w:color w:val="auto"/>
      <w:u w:val="single"/>
    </w:rPr>
  </w:style>
  <w:style w:type="character" w:styleId="IntenseReference">
    <w:name w:val="Intense Reference"/>
    <w:basedOn w:val="DefaultParagraphFont"/>
    <w:uiPriority w:val="32"/>
    <w:qFormat/>
    <w:rsid w:val="00E7392B"/>
    <w:rPr>
      <w:b/>
      <w:bCs/>
      <w:smallCaps/>
      <w:color w:val="auto"/>
      <w:spacing w:val="5"/>
      <w:u w:val="single"/>
    </w:rPr>
  </w:style>
  <w:style w:type="paragraph" w:customStyle="1" w:styleId="2ColumnHeading">
    <w:name w:val="2Column Heading"/>
    <w:basedOn w:val="BodyText"/>
    <w:qFormat/>
    <w:rsid w:val="00E7392B"/>
    <w:pPr>
      <w:spacing w:after="60"/>
      <w:ind w:left="-2268"/>
    </w:pPr>
    <w:rPr>
      <w:b/>
    </w:rPr>
  </w:style>
  <w:style w:type="paragraph" w:customStyle="1" w:styleId="Heading1TOC">
    <w:name w:val="Heading1 TOC"/>
    <w:basedOn w:val="Normal"/>
    <w:qFormat/>
    <w:rsid w:val="00E7392B"/>
    <w:pPr>
      <w:spacing w:before="240" w:after="120"/>
    </w:pPr>
    <w:rPr>
      <w:rFonts w:ascii="Times New Roman" w:hAnsi="Times New Roman"/>
      <w:b/>
      <w:sz w:val="32"/>
    </w:rPr>
  </w:style>
  <w:style w:type="paragraph" w:customStyle="1" w:styleId="Heading2TOC">
    <w:name w:val="Heading2 TOC"/>
    <w:basedOn w:val="Normal"/>
    <w:qFormat/>
    <w:rsid w:val="00E7392B"/>
    <w:pPr>
      <w:spacing w:before="240" w:after="60"/>
    </w:pPr>
    <w:rPr>
      <w:rFonts w:ascii="Times New Roman" w:hAnsi="Times New Roman"/>
      <w:b/>
      <w:sz w:val="28"/>
    </w:rPr>
  </w:style>
  <w:style w:type="character" w:customStyle="1" w:styleId="Underline">
    <w:name w:val="Underline"/>
    <w:basedOn w:val="DefaultParagraphFont"/>
    <w:qFormat/>
    <w:rsid w:val="00E7392B"/>
    <w:rPr>
      <w:u w:val="single"/>
    </w:rPr>
  </w:style>
  <w:style w:type="paragraph" w:styleId="BalloonText">
    <w:name w:val="Balloon Text"/>
    <w:basedOn w:val="Normal"/>
    <w:link w:val="BalloonTextChar"/>
    <w:rsid w:val="00E7392B"/>
    <w:rPr>
      <w:rFonts w:ascii="Tahoma" w:hAnsi="Tahoma" w:cs="Tahoma"/>
      <w:sz w:val="16"/>
      <w:szCs w:val="16"/>
    </w:rPr>
  </w:style>
  <w:style w:type="character" w:customStyle="1" w:styleId="BalloonTextChar">
    <w:name w:val="Balloon Text Char"/>
    <w:basedOn w:val="DefaultParagraphFont"/>
    <w:link w:val="BalloonText"/>
    <w:rsid w:val="00E739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9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9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92B"/>
    <w:rPr>
      <w:b/>
      <w:color w:val="660033"/>
      <w:spacing w:val="0"/>
    </w:rPr>
  </w:style>
  <w:style w:type="paragraph" w:customStyle="1" w:styleId="Nameditemlist">
    <w:name w:val="Named item list"/>
    <w:basedOn w:val="BodyText"/>
    <w:qFormat/>
    <w:rsid w:val="00E7392B"/>
    <w:pPr>
      <w:tabs>
        <w:tab w:val="left" w:pos="2835"/>
      </w:tabs>
      <w:ind w:left="2835" w:hanging="2835"/>
    </w:pPr>
  </w:style>
  <w:style w:type="paragraph" w:customStyle="1" w:styleId="BodyTextnopadding">
    <w:name w:val="Body Text no padding"/>
    <w:basedOn w:val="BodyText"/>
    <w:qFormat/>
    <w:rsid w:val="00E7392B"/>
    <w:pPr>
      <w:spacing w:before="0" w:after="0"/>
    </w:pPr>
  </w:style>
  <w:style w:type="paragraph" w:customStyle="1" w:styleId="BodyTextBold">
    <w:name w:val="Body Text Bold"/>
    <w:basedOn w:val="BodyText"/>
    <w:qFormat/>
    <w:rsid w:val="00E7392B"/>
    <w:rPr>
      <w:b/>
    </w:rPr>
  </w:style>
  <w:style w:type="character" w:styleId="Hyperlink">
    <w:name w:val="Hyperlink"/>
    <w:basedOn w:val="DefaultParagraphFont"/>
    <w:uiPriority w:val="99"/>
    <w:unhideWhenUsed/>
    <w:rsid w:val="005A64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1703</Words>
  <Characters>10273</Characters>
  <Application>Microsoft Office Word</Application>
  <DocSecurity>0</DocSecurity>
  <Lines>293</Lines>
  <Paragraphs>199</Paragraphs>
  <ScaleCrop>false</ScaleCrop>
  <Company>Author-it Software Corporation Ltd.</Company>
  <LinksUpToDate>false</LinksUpToDate>
  <CharactersWithSpaces>11777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HLTOHC003 Apply and manage use of basic oral health products</dc:title>
  <dc:subject>Approved</dc:subject>
  <dc:creator>HumanAbility</dc:creator>
  <cp:keywords>Release: 1</cp:keywords>
  <dc:description>Review Date: 12 April 2008</dc:description>
  <cp:lastModifiedBy>HSD_TPCMSd.prod</cp:lastModifiedBy>
  <cp:revision>3</cp:revision>
  <dcterms:created xsi:type="dcterms:W3CDTF">2025-03-01T11:36:00Z</dcterms:created>
  <dcterms:modified xsi:type="dcterms:W3CDTF">2025-03-01T11:36:00Z</dcterms:modified>
</cp:coreProperties>
</file>