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1C7" w:rsidP="00C001C7">
      <w:pPr>
        <w:pStyle w:val="Title"/>
      </w:pPr>
      <w:r>
        <w:fldChar w:fldCharType="begin"/>
      </w:r>
      <w:r>
        <w:instrText xml:space="preserve"> TITLE   \* MERGEFORMAT </w:instrText>
      </w:r>
      <w:r>
        <w:fldChar w:fldCharType="separate"/>
      </w:r>
      <w:r>
        <w:t>HLTOHC001 Recognise and respond to oral health issues</w:t>
      </w:r>
      <w:r>
        <w:fldChar w:fldCharType="end"/>
      </w:r>
    </w:p>
    <w:p w:rsidR="00C001C7" w:rsidP="00C001C7">
      <w:pPr>
        <w:pStyle w:val="Version"/>
        <w:sectPr w:rsidSect="007C00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012" w:rsidP="007C0012">
      <w:pPr>
        <w:pStyle w:val="SuperHeading"/>
      </w:pPr>
      <w:r w:rsidRPr="007C0012">
        <w:t>HLTOHC001 Recognise and respond to oral health issues</w:t>
      </w:r>
    </w:p>
    <w:p w:rsidR="00000000" w:rsidRPr="007C0012" w:rsidP="007C0012">
      <w:pPr>
        <w:pStyle w:val="Heading1"/>
      </w:pPr>
      <w:bookmarkStart w:id="1" w:name="O_744265"/>
      <w:bookmarkEnd w:id="1"/>
      <w:r w:rsidRPr="007C0012">
        <w:t>Modification History</w:t>
      </w:r>
    </w:p>
    <w:tbl>
      <w:tblPr>
        <w:tblW w:w="0" w:type="auto"/>
        <w:tblLayout w:type="fixed"/>
        <w:tblCellMar>
          <w:left w:w="62" w:type="dxa"/>
          <w:right w:w="62" w:type="dxa"/>
        </w:tblCellMar>
        <w:tblLook w:val="0000"/>
      </w:tblPr>
      <w:tblGrid>
        <w:gridCol w:w="2790"/>
        <w:gridCol w:w="6344"/>
      </w:tblGrid>
      <w:tr w:rsidTr="007C00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12" w:rsidP="007C0012">
            <w:pPr>
              <w:pStyle w:val="BodyText"/>
            </w:pPr>
            <w:r w:rsidRPr="007C001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12">
            <w:pPr>
              <w:pStyle w:val="BodyText"/>
              <w:rPr>
                <w:lang w:val="en-NZ"/>
              </w:rPr>
            </w:pPr>
            <w:r w:rsidRPr="007C0012">
              <w:rPr>
                <w:rStyle w:val="SpecialBold"/>
              </w:rPr>
              <w:t>Comments</w:t>
            </w:r>
          </w:p>
        </w:tc>
      </w:tr>
      <w:tr w:rsidTr="007C00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12">
            <w:pPr>
              <w:pStyle w:val="BodyText"/>
              <w:rPr>
                <w:lang w:val="en-NZ"/>
              </w:rPr>
            </w:pPr>
            <w:r w:rsidRPr="007C001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12" w:rsidP="007C0012">
            <w:pPr>
              <w:pStyle w:val="BodyText"/>
            </w:pPr>
            <w:r w:rsidRPr="007C0012">
              <w:t xml:space="preserve">This version was released in </w:t>
            </w:r>
            <w:r w:rsidRPr="007C0012">
              <w:rPr>
                <w:rStyle w:val="Emphasis"/>
              </w:rPr>
              <w:t>HLT Health Training Package release 2.0</w:t>
            </w:r>
            <w:r w:rsidRPr="007C0012">
              <w:t xml:space="preserve"> and meets the requirements of the 2012 Standards for Training Packages.</w:t>
            </w:r>
          </w:p>
          <w:p w:rsidR="00000000" w:rsidRPr="007C0012" w:rsidP="007C0012">
            <w:pPr>
              <w:pStyle w:val="BodyText"/>
            </w:pPr>
            <w:r w:rsidRPr="007C0012">
              <w:t>Significant changes to the elements and performan</w:t>
            </w:r>
            <w:r w:rsidRPr="007C0012">
              <w:t>ce criteria. New evidence requirements for assessment including volume and frequency requirements.</w:t>
            </w:r>
          </w:p>
        </w:tc>
      </w:tr>
    </w:tbl>
    <w:p w:rsidR="00C001C7" w:rsidP="007C0012">
      <w:pPr>
        <w:pStyle w:val="BodyText"/>
      </w:pPr>
    </w:p>
    <w:p w:rsidR="00C001C7" w:rsidP="007C0012">
      <w:pPr>
        <w:pStyle w:val="BodyText"/>
      </w:pPr>
    </w:p>
    <w:p w:rsidR="00000000" w:rsidRPr="007C0012" w:rsidP="007C0012">
      <w:pPr>
        <w:pStyle w:val="Heading1"/>
      </w:pPr>
      <w:bookmarkStart w:id="2" w:name="O_744266"/>
      <w:bookmarkEnd w:id="2"/>
      <w:r w:rsidRPr="007C0012">
        <w:t>Application</w:t>
      </w:r>
    </w:p>
    <w:p w:rsidR="00000000" w:rsidRPr="007C0012" w:rsidP="00C001C7">
      <w:pPr>
        <w:pStyle w:val="BodyText"/>
      </w:pPr>
      <w:r w:rsidRPr="007C0012">
        <w:t>This unit describes the skills and knowledge required to identify variations and recognise oral health issues through a visua</w:t>
      </w:r>
      <w:r w:rsidRPr="007C0012">
        <w:t>l check, observation of patient behaviour and habits, signs and symptoms and physical condition of patients. This enables the candidate to respond appropriately to the clinical findings to initiate follow up oral health care.</w:t>
      </w:r>
    </w:p>
    <w:p w:rsidR="00000000" w:rsidRPr="007C0012" w:rsidP="00C001C7">
      <w:pPr>
        <w:pStyle w:val="BodyText"/>
      </w:pPr>
      <w:r w:rsidRPr="007C0012">
        <w:t xml:space="preserve">This unit applies to workers </w:t>
      </w:r>
      <w:r w:rsidRPr="007C0012">
        <w:t>in a range of health and community services environments where their work role requires them to recognise and respond to oral health issues.</w:t>
      </w:r>
    </w:p>
    <w:p w:rsidR="00000000" w:rsidRPr="00C001C7" w:rsidP="00C001C7">
      <w:pPr>
        <w:pStyle w:val="BodyText"/>
        <w:rPr>
          <w:i/>
        </w:rPr>
      </w:pPr>
      <w:r w:rsidRPr="00C001C7">
        <w:rPr>
          <w:rStyle w:val="Emphasis"/>
        </w:rPr>
        <w:t>The skills in this unit must be applied in accordance with Commonwealth and State/Territory legislation, Australia</w:t>
      </w:r>
      <w:r w:rsidRPr="00C001C7">
        <w:rPr>
          <w:rStyle w:val="Emphasis"/>
        </w:rPr>
        <w:t>n/New Zealand standards for maintaining infection control, and industry codes of practice.</w:t>
      </w:r>
    </w:p>
    <w:p w:rsidR="00000000" w:rsidRPr="007C0012" w:rsidP="007C0012">
      <w:pPr>
        <w:pStyle w:val="Heading1"/>
      </w:pPr>
      <w:bookmarkStart w:id="3" w:name="O_744270"/>
      <w:bookmarkEnd w:id="3"/>
      <w:r w:rsidRPr="007C0012">
        <w:t>Elements and Performance Criteria</w:t>
      </w:r>
    </w:p>
    <w:tbl>
      <w:tblPr>
        <w:tblW w:w="0" w:type="auto"/>
        <w:tblLayout w:type="fixed"/>
        <w:tblCellMar>
          <w:left w:w="62" w:type="dxa"/>
          <w:right w:w="62" w:type="dxa"/>
        </w:tblCellMar>
        <w:tblLook w:val="0000"/>
      </w:tblPr>
      <w:tblGrid>
        <w:gridCol w:w="3232"/>
        <w:gridCol w:w="5669"/>
      </w:tblGrid>
      <w:tr w:rsidTr="007C0012">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7C0012" w:rsidP="007C0012">
            <w:pPr>
              <w:pStyle w:val="BodyText"/>
            </w:pPr>
            <w:r w:rsidRPr="007C0012">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7C0012">
            <w:pPr>
              <w:pStyle w:val="BodyText"/>
              <w:rPr>
                <w:lang w:val="en-NZ"/>
              </w:rPr>
            </w:pPr>
            <w:r w:rsidRPr="007C0012">
              <w:rPr>
                <w:rStyle w:val="SpecialBold"/>
              </w:rPr>
              <w:t>PERFORMANCE CRITERIA</w:t>
            </w:r>
          </w:p>
        </w:tc>
      </w:tr>
      <w:tr w:rsidTr="007C0012">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7C0012" w:rsidP="007C0012">
            <w:pPr>
              <w:pStyle w:val="BodyText"/>
            </w:pPr>
            <w:r w:rsidRPr="007C0012">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r w:rsidRPr="007C0012">
              <w:rPr>
                <w:rStyle w:val="Emphasis"/>
              </w:rPr>
              <w:t>Performance criteria specify the level of performance needed to demonstrate achievement of the element</w:t>
            </w:r>
          </w:p>
        </w:tc>
      </w:tr>
      <w:tr w:rsidTr="007C001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r w:rsidRPr="007C0012">
              <w:t xml:space="preserve">1. Identify variations in patient behaviour and habits </w:t>
            </w:r>
          </w:p>
        </w:tc>
        <w:tc>
          <w:tcPr>
            <w:tcW w:w="5669" w:type="dxa"/>
            <w:tcBorders>
              <w:top w:val="nil"/>
              <w:left w:val="nil"/>
              <w:bottom w:val="nil"/>
              <w:right w:val="nil"/>
            </w:tcBorders>
            <w:tcMar>
              <w:top w:w="0" w:type="dxa"/>
              <w:left w:w="62" w:type="dxa"/>
              <w:bottom w:w="0" w:type="dxa"/>
              <w:right w:w="62" w:type="dxa"/>
            </w:tcMar>
          </w:tcPr>
          <w:p w:rsidR="00000000" w:rsidRPr="007C0012" w:rsidP="007C0012">
            <w:pPr>
              <w:pStyle w:val="BodyText"/>
            </w:pPr>
            <w:r w:rsidRPr="007C0012">
              <w:t>1.1 Identify opportunities to observe patient behaviour, physical functions, capabilities and ha</w:t>
            </w:r>
            <w:r w:rsidRPr="007C0012">
              <w:t>bits that may indicate oral health issues or associated pain or discomfort</w:t>
            </w:r>
          </w:p>
          <w:p w:rsidR="00000000" w:rsidRPr="007C0012" w:rsidP="007C0012">
            <w:pPr>
              <w:pStyle w:val="BodyText"/>
            </w:pPr>
            <w:r w:rsidRPr="007C0012">
              <w:t xml:space="preserve">1.2 Observe, listen for self-reports and question patient </w:t>
            </w:r>
            <w:r w:rsidRPr="007C0012">
              <w:t>and family/or carer to determine whether the patient is experiencing pain or discomfort that may be associated with oral he</w:t>
            </w:r>
            <w:r w:rsidRPr="007C0012">
              <w:t xml:space="preserve">alth issues </w:t>
            </w:r>
          </w:p>
          <w:p w:rsidR="00000000" w:rsidP="007C0012">
            <w:pPr>
              <w:pStyle w:val="BodyText"/>
              <w:rPr>
                <w:lang w:val="en-NZ"/>
              </w:rPr>
            </w:pPr>
            <w:r w:rsidRPr="007C0012">
              <w:t>1.3 Access relevant information on contributing factors that may produce variation from normal behaviour</w:t>
            </w:r>
          </w:p>
        </w:tc>
      </w:tr>
      <w:tr w:rsidTr="007C001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p>
        </w:tc>
      </w:tr>
      <w:tr w:rsidTr="007C001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r w:rsidRPr="007C0012">
              <w:t>2. Undertake basic visual oral check and questioning</w:t>
            </w:r>
          </w:p>
        </w:tc>
        <w:tc>
          <w:tcPr>
            <w:tcW w:w="5669" w:type="dxa"/>
            <w:tcBorders>
              <w:top w:val="nil"/>
              <w:left w:val="nil"/>
              <w:bottom w:val="nil"/>
              <w:right w:val="nil"/>
            </w:tcBorders>
            <w:tcMar>
              <w:top w:w="0" w:type="dxa"/>
              <w:left w:w="62" w:type="dxa"/>
              <w:bottom w:w="0" w:type="dxa"/>
              <w:right w:w="62" w:type="dxa"/>
            </w:tcMar>
          </w:tcPr>
          <w:p w:rsidR="00000000" w:rsidRPr="007C0012" w:rsidP="007C0012">
            <w:pPr>
              <w:pStyle w:val="BodyText"/>
            </w:pPr>
            <w:r w:rsidRPr="007C0012">
              <w:t xml:space="preserve">2.1 Obtain consent from the patient to conduct basic visual oral check </w:t>
            </w:r>
            <w:r w:rsidRPr="007C0012">
              <w:t>and questioning from patient and/or family/carer</w:t>
            </w:r>
          </w:p>
          <w:p w:rsidR="00000000" w:rsidRPr="007C0012" w:rsidP="007C0012">
            <w:pPr>
              <w:pStyle w:val="BodyText"/>
            </w:pPr>
            <w:r w:rsidRPr="007C0012">
              <w:t>2.2 Ensure comfort of patient by developing trust and rapport, adapting environment and optimal time based on patient needs</w:t>
            </w:r>
          </w:p>
          <w:p w:rsidR="00000000" w:rsidRPr="007C0012" w:rsidP="007C0012">
            <w:pPr>
              <w:pStyle w:val="BodyText"/>
            </w:pPr>
            <w:r w:rsidRPr="007C0012">
              <w:t>2.3 Provide support for patient’s head or chin if necessary to enhance visual acces</w:t>
            </w:r>
            <w:r w:rsidRPr="007C0012">
              <w:t xml:space="preserve">s without creating discomfort for the patient </w:t>
            </w:r>
          </w:p>
          <w:p w:rsidR="00000000" w:rsidRPr="007C0012" w:rsidP="007C0012">
            <w:pPr>
              <w:pStyle w:val="BodyText"/>
            </w:pPr>
            <w:r w:rsidRPr="007C0012">
              <w:t>2.4 Seek assistance from patient to open their own mouth to limit hand contact inside the mouth</w:t>
            </w:r>
          </w:p>
          <w:p w:rsidR="00000000" w:rsidRPr="007C0012" w:rsidP="007C0012">
            <w:pPr>
              <w:pStyle w:val="BodyText"/>
            </w:pPr>
            <w:r w:rsidRPr="007C0012">
              <w:t>2.5 Prepare and perform basic visual oral checks in line with own work role and use of standard precautions</w:t>
            </w:r>
          </w:p>
          <w:p w:rsidR="00000000" w:rsidP="007C0012">
            <w:pPr>
              <w:pStyle w:val="BodyText"/>
              <w:rPr>
                <w:lang w:val="en-NZ"/>
              </w:rPr>
            </w:pPr>
            <w:r w:rsidRPr="007C0012">
              <w:t>2.6 I</w:t>
            </w:r>
            <w:r w:rsidRPr="007C0012">
              <w:t>dentify signs and symptoms of oral health issues that may indicate variation from normal and actively listen to and be aware of self-reports</w:t>
            </w:r>
          </w:p>
        </w:tc>
      </w:tr>
      <w:tr w:rsidTr="007C0012">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p>
        </w:tc>
      </w:tr>
      <w:tr w:rsidTr="007C0012">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7C0012">
            <w:pPr>
              <w:pStyle w:val="BodyText"/>
              <w:rPr>
                <w:lang w:val="en-NZ"/>
              </w:rPr>
            </w:pPr>
            <w:r w:rsidRPr="007C0012">
              <w:t>3. Follow up and promote ongoing oral health care</w:t>
            </w:r>
          </w:p>
        </w:tc>
        <w:tc>
          <w:tcPr>
            <w:tcW w:w="5669" w:type="dxa"/>
            <w:tcBorders>
              <w:top w:val="nil"/>
              <w:left w:val="nil"/>
              <w:bottom w:val="nil"/>
              <w:right w:val="nil"/>
            </w:tcBorders>
            <w:tcMar>
              <w:top w:w="0" w:type="dxa"/>
              <w:left w:w="62" w:type="dxa"/>
              <w:bottom w:w="0" w:type="dxa"/>
              <w:right w:w="62" w:type="dxa"/>
            </w:tcMar>
          </w:tcPr>
          <w:p w:rsidR="00000000" w:rsidRPr="007C0012" w:rsidP="007C0012">
            <w:pPr>
              <w:pStyle w:val="BodyText"/>
            </w:pPr>
            <w:r w:rsidRPr="007C0012">
              <w:t>3.1 Complete documentation and reporting processes, using inf</w:t>
            </w:r>
            <w:r w:rsidRPr="007C0012">
              <w:t>ormation from patient, and/or family/carer or other relevant people as well as own observations in relation to oral health issues</w:t>
            </w:r>
          </w:p>
          <w:p w:rsidR="00000000" w:rsidRPr="007C0012" w:rsidP="007C0012">
            <w:pPr>
              <w:pStyle w:val="BodyText"/>
            </w:pPr>
            <w:r w:rsidRPr="007C0012">
              <w:t>3.2 Discuss oral health issues with patient and/or carer in line with organisation policies and procedures and respecting pati</w:t>
            </w:r>
            <w:r w:rsidRPr="007C0012">
              <w:t>ent priorities and choices</w:t>
            </w:r>
          </w:p>
          <w:p w:rsidR="00000000" w:rsidRPr="007C0012" w:rsidP="007C0012">
            <w:pPr>
              <w:pStyle w:val="BodyText"/>
            </w:pPr>
            <w:r w:rsidRPr="007C0012">
              <w:t xml:space="preserve">3.3 Take appropriate action within work role, including liaising with supervisor in consultation with patient to ensure appropriate referral occurs </w:t>
            </w:r>
          </w:p>
          <w:p w:rsidR="00000000" w:rsidRPr="007C0012" w:rsidP="007C0012">
            <w:pPr>
              <w:pStyle w:val="BodyText"/>
            </w:pPr>
            <w:r w:rsidRPr="007C0012">
              <w:t xml:space="preserve">3.4 Use appropriate communication strategies to provide information relevant to </w:t>
            </w:r>
            <w:r w:rsidRPr="007C0012">
              <w:t xml:space="preserve">promoting and maintaining good oral health </w:t>
            </w:r>
          </w:p>
          <w:p w:rsidR="00000000" w:rsidRPr="007C0012" w:rsidP="007C0012">
            <w:pPr>
              <w:pStyle w:val="BodyText"/>
            </w:pPr>
            <w:r w:rsidRPr="007C0012">
              <w:t>3.5 Provide instruction to support patients to take a self-care approach to oral health in line with individual needs where possible</w:t>
            </w:r>
          </w:p>
          <w:p w:rsidR="00000000" w:rsidRPr="007C0012" w:rsidP="007C0012">
            <w:pPr>
              <w:pStyle w:val="BodyText"/>
            </w:pPr>
            <w:r w:rsidRPr="007C0012">
              <w:t xml:space="preserve">3.6 Identify and address key barriers to management or self-management of oral </w:t>
            </w:r>
            <w:r w:rsidRPr="007C0012">
              <w:t>health</w:t>
            </w:r>
          </w:p>
          <w:p w:rsidR="00000000" w:rsidRPr="007C0012" w:rsidP="007C0012">
            <w:pPr>
              <w:pStyle w:val="BodyText"/>
            </w:pPr>
            <w:r w:rsidRPr="007C0012">
              <w:t xml:space="preserve">3.7 Review and monitor oral health issues </w:t>
            </w:r>
          </w:p>
        </w:tc>
      </w:tr>
    </w:tbl>
    <w:p w:rsidR="00C001C7" w:rsidP="007C0012">
      <w:pPr>
        <w:pStyle w:val="BodyText"/>
      </w:pPr>
    </w:p>
    <w:p w:rsidR="00C001C7" w:rsidP="007C0012">
      <w:pPr>
        <w:pStyle w:val="BodyText"/>
      </w:pPr>
    </w:p>
    <w:p w:rsidR="00000000" w:rsidRPr="007C0012" w:rsidP="007C0012">
      <w:pPr>
        <w:pStyle w:val="Heading1"/>
      </w:pPr>
      <w:bookmarkStart w:id="4" w:name="O_744271"/>
      <w:bookmarkEnd w:id="4"/>
      <w:r w:rsidRPr="007C0012">
        <w:t>Foundation Skills</w:t>
      </w:r>
    </w:p>
    <w:tbl>
      <w:tblPr>
        <w:tblW w:w="0" w:type="auto"/>
        <w:tblLayout w:type="fixed"/>
        <w:tblCellMar>
          <w:left w:w="62" w:type="dxa"/>
          <w:right w:w="62" w:type="dxa"/>
        </w:tblCellMar>
        <w:tblLook w:val="0000"/>
      </w:tblPr>
      <w:tblGrid>
        <w:gridCol w:w="8902"/>
      </w:tblGrid>
      <w:tr w:rsidTr="007C0012">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7C0012" w:rsidP="007C0012">
            <w:pPr>
              <w:pStyle w:val="BodyText"/>
            </w:pPr>
            <w:r w:rsidRPr="007C0012">
              <w:rPr>
                <w:rStyle w:val="Emphasis"/>
              </w:rPr>
              <w:t>The Foundation Skills describe those required skills (language, literacy, numeracy and employment skills) that are essential to performance.</w:t>
            </w:r>
          </w:p>
        </w:tc>
      </w:tr>
    </w:tbl>
    <w:p w:rsidR="00000000" w:rsidRPr="007C0012" w:rsidP="007C0012">
      <w:pPr>
        <w:pStyle w:val="BodyText"/>
      </w:pPr>
    </w:p>
    <w:p w:rsidR="00000000" w:rsidRPr="007C0012" w:rsidP="00C001C7">
      <w:pPr>
        <w:pStyle w:val="BodyText"/>
      </w:pPr>
      <w:r w:rsidRPr="007C0012">
        <w:t>Foundation skills essential to performance are explicit in the performance criteria of this unit of competency.</w:t>
      </w:r>
    </w:p>
    <w:p w:rsidR="00000000" w:rsidRPr="007C0012" w:rsidP="007C0012">
      <w:pPr>
        <w:pStyle w:val="Heading1"/>
      </w:pPr>
      <w:bookmarkStart w:id="5" w:name="O_744273"/>
      <w:bookmarkEnd w:id="5"/>
      <w:r w:rsidRPr="007C0012">
        <w:t>Unit Mapping Information</w:t>
      </w:r>
    </w:p>
    <w:p w:rsidR="00000000" w:rsidRPr="007C0012" w:rsidP="00C001C7">
      <w:pPr>
        <w:pStyle w:val="BodyText"/>
      </w:pPr>
      <w:r w:rsidRPr="007C0012">
        <w:t xml:space="preserve">No equivalent unit. </w:t>
      </w:r>
    </w:p>
    <w:p w:rsidR="00000000" w:rsidRPr="007C0012" w:rsidP="007C0012">
      <w:pPr>
        <w:pStyle w:val="Heading1"/>
      </w:pPr>
      <w:bookmarkStart w:id="6" w:name="O_744280"/>
      <w:bookmarkEnd w:id="6"/>
      <w:r w:rsidRPr="007C0012">
        <w:t>Links</w:t>
      </w:r>
    </w:p>
    <w:p w:rsidR="00000000" w:rsidRPr="007C0012" w:rsidP="00C001C7">
      <w:pPr>
        <w:pStyle w:val="BodyText"/>
      </w:pPr>
      <w:r w:rsidRPr="007C0012">
        <w:t>Companion Volume implementation guides are found in VETNet</w:t>
      </w:r>
      <w:r w:rsidRPr="007C0012">
        <w:t xml:space="preserve"> - </w:t>
      </w:r>
      <w:r>
        <w:fldChar w:fldCharType="begin"/>
      </w:r>
      <w:r>
        <w:instrText xml:space="preserve"> HYPERLINK "https://vetnet.gov.au/Pages/TrainingDocs.aspx?q=ced1390f-48d9-4ab0-bd50-b015e5485705" </w:instrText>
      </w:r>
      <w:r>
        <w:fldChar w:fldCharType="separate"/>
      </w:r>
      <w:r w:rsidRPr="003F54F2">
        <w:rPr>
          <w:rStyle w:val="Hyperlink"/>
        </w:rPr>
        <w:t>https://vetnet.gov.au/Pages/TrainingDocs.aspx?q=ced1390f-48d9-4ab0-bd50-b015e5485705</w:t>
      </w:r>
      <w:r>
        <w:fldChar w:fldCharType="end"/>
      </w:r>
    </w:p>
    <w:p w:rsidR="00000000" w:rsidRPr="007C0012" w:rsidP="00C001C7">
      <w:pPr>
        <w:pStyle w:val="BodyText"/>
        <w:sectPr w:rsidSect="007C0012">
          <w:headerReference w:type="default" r:id="rId10"/>
          <w:footerReference w:type="default" r:id="rId11"/>
          <w:pgSz w:w="11908" w:h="16833"/>
          <w:pgMar w:top="1702" w:right="1418" w:bottom="1702" w:left="1418" w:header="992" w:footer="992" w:gutter="0"/>
          <w:cols w:space="720"/>
          <w:noEndnote/>
          <w:docGrid w:linePitch="299"/>
        </w:sectPr>
      </w:pPr>
    </w:p>
    <w:p w:rsidR="00000000" w:rsidRPr="007C0012" w:rsidP="007C0012">
      <w:pPr>
        <w:pStyle w:val="SuperHeading"/>
      </w:pPr>
      <w:r w:rsidRPr="007C0012">
        <w:t>Assessment Requirements for HLTOHC001 Recognise and respond to oral health issues</w:t>
      </w:r>
    </w:p>
    <w:p w:rsidR="00000000" w:rsidRPr="007C0012" w:rsidP="007C0012">
      <w:pPr>
        <w:pStyle w:val="Heading1"/>
      </w:pPr>
      <w:bookmarkStart w:id="7" w:name="O_744275"/>
      <w:bookmarkEnd w:id="7"/>
      <w:r w:rsidRPr="007C0012">
        <w:t>Modification History</w:t>
      </w:r>
    </w:p>
    <w:tbl>
      <w:tblPr>
        <w:tblW w:w="0" w:type="auto"/>
        <w:tblLayout w:type="fixed"/>
        <w:tblCellMar>
          <w:left w:w="62" w:type="dxa"/>
          <w:right w:w="62" w:type="dxa"/>
        </w:tblCellMar>
        <w:tblLook w:val="0000"/>
      </w:tblPr>
      <w:tblGrid>
        <w:gridCol w:w="2790"/>
        <w:gridCol w:w="6344"/>
      </w:tblGrid>
      <w:tr w:rsidTr="007C00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12" w:rsidP="007C0012">
            <w:pPr>
              <w:pStyle w:val="BodyText"/>
            </w:pPr>
            <w:r w:rsidRPr="007C001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12">
            <w:pPr>
              <w:pStyle w:val="BodyText"/>
              <w:rPr>
                <w:lang w:val="en-NZ"/>
              </w:rPr>
            </w:pPr>
            <w:r w:rsidRPr="007C0012">
              <w:rPr>
                <w:rStyle w:val="SpecialBold"/>
              </w:rPr>
              <w:t>Comments</w:t>
            </w:r>
          </w:p>
        </w:tc>
      </w:tr>
      <w:tr w:rsidTr="007C001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12">
            <w:pPr>
              <w:pStyle w:val="BodyText"/>
              <w:rPr>
                <w:lang w:val="en-NZ"/>
              </w:rPr>
            </w:pPr>
            <w:r w:rsidRPr="007C001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12" w:rsidP="007C0012">
            <w:pPr>
              <w:pStyle w:val="BodyText"/>
            </w:pPr>
            <w:r w:rsidRPr="007C0012">
              <w:t xml:space="preserve">This version was released in </w:t>
            </w:r>
            <w:r w:rsidRPr="007C0012">
              <w:rPr>
                <w:rStyle w:val="Emphasis"/>
              </w:rPr>
              <w:t>HLT Health Training Package release 2.0</w:t>
            </w:r>
            <w:r w:rsidRPr="007C0012">
              <w:t xml:space="preserve"> and meets the requirements of the 2012 Standards for Training Packages.</w:t>
            </w:r>
          </w:p>
          <w:p w:rsidR="00000000" w:rsidRPr="007C0012" w:rsidP="007C0012">
            <w:pPr>
              <w:pStyle w:val="BodyText"/>
            </w:pPr>
            <w:r w:rsidRPr="007C0012">
              <w:t>Significant changes to the elements and performance criteria. New evidence requirements</w:t>
            </w:r>
            <w:r w:rsidRPr="007C0012">
              <w:t xml:space="preserve"> for assessment including volume and frequency requirements.</w:t>
            </w:r>
          </w:p>
        </w:tc>
      </w:tr>
    </w:tbl>
    <w:p w:rsidR="00C001C7" w:rsidP="007C0012">
      <w:pPr>
        <w:pStyle w:val="BodyText"/>
      </w:pPr>
    </w:p>
    <w:p w:rsidR="00C001C7" w:rsidP="007C0012">
      <w:pPr>
        <w:pStyle w:val="BodyText"/>
      </w:pPr>
    </w:p>
    <w:p w:rsidR="00000000" w:rsidRPr="007C0012" w:rsidP="007C0012">
      <w:pPr>
        <w:pStyle w:val="Heading1"/>
      </w:pPr>
      <w:bookmarkStart w:id="8" w:name="O_744276"/>
      <w:bookmarkEnd w:id="8"/>
      <w:r w:rsidRPr="007C0012">
        <w:t>Performance Evidence</w:t>
      </w:r>
    </w:p>
    <w:p w:rsidR="00000000" w:rsidRPr="007C0012" w:rsidP="00C001C7">
      <w:pPr>
        <w:pStyle w:val="BodyText"/>
      </w:pPr>
      <w:r w:rsidRPr="007C001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7C0012" w:rsidP="007C0012">
      <w:pPr>
        <w:pStyle w:val="ListBullet"/>
      </w:pPr>
      <w:r w:rsidRPr="007C0012">
        <w:t xml:space="preserve">performed a </w:t>
      </w:r>
      <w:r w:rsidRPr="007C0012">
        <w:t>visual oral health check on 5 patients, including:</w:t>
      </w:r>
    </w:p>
    <w:p w:rsidR="00000000" w:rsidRPr="007C0012" w:rsidP="007C0012">
      <w:pPr>
        <w:pStyle w:val="ListBullet2"/>
      </w:pPr>
      <w:r w:rsidRPr="007C0012">
        <w:t xml:space="preserve">identified any signs and symptoms related to oral health care issues </w:t>
      </w:r>
    </w:p>
    <w:p w:rsidR="00000000" w:rsidRPr="007C0012" w:rsidP="007C0012">
      <w:pPr>
        <w:pStyle w:val="ListBullet2"/>
      </w:pPr>
      <w:r w:rsidRPr="007C0012">
        <w:t>gathered relevant information from visual check and questioning to initiate appropriate follow up oral health care</w:t>
      </w:r>
    </w:p>
    <w:p w:rsidR="00000000" w:rsidRPr="007C0012" w:rsidP="007C0012">
      <w:pPr>
        <w:pStyle w:val="ListBullet2"/>
      </w:pPr>
      <w:r w:rsidRPr="007C0012">
        <w:t xml:space="preserve">used appropriate manual handling techniques when working with patients with special care needs or mental health condition </w:t>
      </w:r>
    </w:p>
    <w:p w:rsidR="00000000" w:rsidRPr="007C0012" w:rsidP="007C0012">
      <w:pPr>
        <w:pStyle w:val="AllowPageBreak"/>
      </w:pPr>
    </w:p>
    <w:p w:rsidR="00000000" w:rsidRPr="007C0012" w:rsidP="007C0012">
      <w:pPr>
        <w:pStyle w:val="Heading1"/>
      </w:pPr>
      <w:bookmarkStart w:id="9" w:name="O_744277"/>
      <w:bookmarkEnd w:id="9"/>
      <w:r w:rsidRPr="007C0012">
        <w:t>Knowledge Evidence</w:t>
      </w:r>
    </w:p>
    <w:p w:rsidR="00000000" w:rsidRPr="007C0012" w:rsidP="00C001C7">
      <w:pPr>
        <w:pStyle w:val="BodyText"/>
      </w:pPr>
      <w:r w:rsidRPr="007C0012">
        <w:t>The candidate must demonstrate essential knowledge required to effectively complete tasks outline</w:t>
      </w:r>
      <w:r w:rsidRPr="007C0012">
        <w:t xml:space="preserve">d in elements and performance criteria of this unit, manage tasks and manage contingencies in the context of the work role. This includes knowledge of: </w:t>
      </w:r>
    </w:p>
    <w:p w:rsidR="00000000" w:rsidRPr="007C0012" w:rsidP="007C0012">
      <w:pPr>
        <w:pStyle w:val="ListBullet"/>
      </w:pPr>
      <w:r w:rsidRPr="007C0012">
        <w:t>basic anatomy and physiology underpinning oral health, including what is considered healthy and unheal</w:t>
      </w:r>
      <w:r w:rsidRPr="007C0012">
        <w:t>thy</w:t>
      </w:r>
    </w:p>
    <w:p w:rsidR="00000000" w:rsidRPr="007C0012" w:rsidP="007C0012">
      <w:pPr>
        <w:pStyle w:val="ListBullet"/>
      </w:pPr>
      <w:r w:rsidRPr="007C0012">
        <w:t>patient behaviour and habits which contribute to oral health issues</w:t>
      </w:r>
    </w:p>
    <w:p w:rsidR="00000000" w:rsidRPr="007C0012" w:rsidP="007C0012">
      <w:pPr>
        <w:pStyle w:val="ListBullet"/>
      </w:pPr>
      <w:r w:rsidRPr="007C0012">
        <w:t xml:space="preserve">causes and prevention of tooth decay, gum disease and tooth wear, including erosion, abrasion and attrition. </w:t>
      </w:r>
    </w:p>
    <w:p w:rsidR="00000000" w:rsidRPr="007C0012" w:rsidP="007C0012">
      <w:pPr>
        <w:pStyle w:val="ListBullet"/>
      </w:pPr>
      <w:r w:rsidRPr="007C0012">
        <w:t>effective self-care practices for oral health including cause, control and</w:t>
      </w:r>
      <w:r w:rsidRPr="007C0012">
        <w:t xml:space="preserve"> prevention of dental plaque</w:t>
      </w:r>
    </w:p>
    <w:p w:rsidR="00000000" w:rsidRPr="007C0012" w:rsidP="007C0012">
      <w:pPr>
        <w:pStyle w:val="ListBullet"/>
      </w:pPr>
      <w:r w:rsidRPr="007C0012">
        <w:t>state/territory and national government policy and programs and reporting processes for oral health</w:t>
      </w:r>
    </w:p>
    <w:p w:rsidR="00000000" w:rsidRPr="007C0012" w:rsidP="007C0012">
      <w:pPr>
        <w:pStyle w:val="ListBullet"/>
      </w:pPr>
      <w:r w:rsidRPr="007C0012">
        <w:t>accessibility to services, including availability of private and public oral health services, including eligibility for service</w:t>
      </w:r>
      <w:r w:rsidRPr="007C0012">
        <w:t>s</w:t>
      </w:r>
    </w:p>
    <w:p w:rsidR="00000000" w:rsidRPr="007C0012" w:rsidP="007C0012">
      <w:pPr>
        <w:pStyle w:val="ListBullet"/>
      </w:pPr>
      <w:r w:rsidRPr="007C0012">
        <w:t>role of oral health professionals</w:t>
      </w:r>
    </w:p>
    <w:p w:rsidR="00000000" w:rsidRPr="007C0012" w:rsidP="007C0012">
      <w:pPr>
        <w:pStyle w:val="ListBullet"/>
      </w:pPr>
      <w:r w:rsidRPr="007C0012">
        <w:t>factors that impact on oral health, including:</w:t>
      </w:r>
    </w:p>
    <w:p w:rsidR="00000000" w:rsidRPr="007C0012" w:rsidP="007C0012">
      <w:pPr>
        <w:pStyle w:val="ListBullet2"/>
      </w:pPr>
      <w:r w:rsidRPr="007C0012">
        <w:t>abuse (neglect of oral health needs)</w:t>
      </w:r>
    </w:p>
    <w:p w:rsidR="00000000" w:rsidRPr="007C0012" w:rsidP="007C0012">
      <w:pPr>
        <w:pStyle w:val="ListBullet2"/>
      </w:pPr>
      <w:r w:rsidRPr="007C0012">
        <w:t>access to dental and health services</w:t>
      </w:r>
    </w:p>
    <w:p w:rsidR="00000000" w:rsidRPr="007C0012" w:rsidP="007C0012">
      <w:pPr>
        <w:pStyle w:val="ListBullet2"/>
      </w:pPr>
      <w:r w:rsidRPr="007C0012">
        <w:t>alcohol, licit and illicit drugs and substances, over the counter and herbal treatments</w:t>
      </w:r>
    </w:p>
    <w:p w:rsidR="00000000" w:rsidRPr="007C0012" w:rsidP="007C0012">
      <w:pPr>
        <w:pStyle w:val="ListBullet2"/>
      </w:pPr>
      <w:r w:rsidRPr="007C0012">
        <w:t>correct infant feeding practices</w:t>
      </w:r>
    </w:p>
    <w:p w:rsidR="00000000" w:rsidRPr="007C0012" w:rsidP="007C0012">
      <w:pPr>
        <w:pStyle w:val="ListBullet2"/>
      </w:pPr>
      <w:r w:rsidRPr="007C0012">
        <w:t xml:space="preserve">damage from habitual grinding of teeth </w:t>
      </w:r>
    </w:p>
    <w:p w:rsidR="00000000" w:rsidRPr="007C0012" w:rsidP="007C0012">
      <w:pPr>
        <w:pStyle w:val="ListBullet2"/>
      </w:pPr>
      <w:r w:rsidRPr="007C0012">
        <w:t>diet and nutrition, including fluids and excessive intake of sugar</w:t>
      </w:r>
    </w:p>
    <w:p w:rsidR="00000000" w:rsidRPr="007C0012" w:rsidP="007C0012">
      <w:pPr>
        <w:pStyle w:val="ListBullet2"/>
      </w:pPr>
      <w:r w:rsidRPr="007C0012">
        <w:t>fluoride</w:t>
      </w:r>
    </w:p>
    <w:p w:rsidR="00000000" w:rsidRPr="007C0012" w:rsidP="007C0012">
      <w:pPr>
        <w:pStyle w:val="ListBullet2"/>
      </w:pPr>
      <w:r w:rsidRPr="007C0012">
        <w:t>general health and wellbeing</w:t>
      </w:r>
    </w:p>
    <w:p w:rsidR="00000000" w:rsidRPr="007C0012" w:rsidP="007C0012">
      <w:pPr>
        <w:pStyle w:val="ListBullet2"/>
      </w:pPr>
      <w:r w:rsidRPr="007C0012">
        <w:t>immunosuppressant conditions, HIV, chemotherapy and radiation</w:t>
      </w:r>
    </w:p>
    <w:p w:rsidR="00000000" w:rsidRPr="007C0012" w:rsidP="007C0012">
      <w:pPr>
        <w:pStyle w:val="ListBullet2"/>
      </w:pPr>
      <w:r w:rsidRPr="007C0012">
        <w:t>injury to mouth,</w:t>
      </w:r>
      <w:r w:rsidRPr="007C0012">
        <w:t xml:space="preserve"> such as from a seizure</w:t>
      </w:r>
    </w:p>
    <w:p w:rsidR="00000000" w:rsidRPr="007C0012" w:rsidP="007C0012">
      <w:pPr>
        <w:pStyle w:val="ListBullet2"/>
      </w:pPr>
      <w:r w:rsidRPr="007C0012">
        <w:t>medical history</w:t>
      </w:r>
    </w:p>
    <w:p w:rsidR="00000000" w:rsidRPr="007C0012" w:rsidP="007C0012">
      <w:pPr>
        <w:pStyle w:val="ListBullet2"/>
      </w:pPr>
      <w:r w:rsidRPr="007C0012">
        <w:t>oral piercings</w:t>
      </w:r>
    </w:p>
    <w:p w:rsidR="00000000" w:rsidRPr="007C0012" w:rsidP="007C0012">
      <w:pPr>
        <w:pStyle w:val="ListBullet2"/>
      </w:pPr>
      <w:r w:rsidRPr="007C0012">
        <w:t>patient oral health information</w:t>
      </w:r>
    </w:p>
    <w:p w:rsidR="00000000" w:rsidRPr="007C0012" w:rsidP="007C0012">
      <w:pPr>
        <w:pStyle w:val="ListBullet2"/>
      </w:pPr>
      <w:r w:rsidRPr="007C0012">
        <w:t>presence of plaque and calculus</w:t>
      </w:r>
    </w:p>
    <w:p w:rsidR="00000000" w:rsidRPr="007C0012" w:rsidP="007C0012">
      <w:pPr>
        <w:pStyle w:val="ListBullet2"/>
      </w:pPr>
      <w:r w:rsidRPr="007C0012">
        <w:t>psychological issues, such as fear of being seen without dentures or persisting with ill-fitting dentures for satisfaction of others</w:t>
      </w:r>
    </w:p>
    <w:p w:rsidR="00000000" w:rsidRPr="007C0012" w:rsidP="007C0012">
      <w:pPr>
        <w:pStyle w:val="ListBullet2"/>
      </w:pPr>
      <w:r w:rsidRPr="007C0012">
        <w:t>salivary function</w:t>
      </w:r>
    </w:p>
    <w:p w:rsidR="00000000" w:rsidRPr="007C0012" w:rsidP="007C0012">
      <w:pPr>
        <w:pStyle w:val="ListBullet2"/>
      </w:pPr>
      <w:r w:rsidRPr="007C0012">
        <w:t>smoking</w:t>
      </w:r>
    </w:p>
    <w:p w:rsidR="00000000" w:rsidRPr="007C0012" w:rsidP="007C0012">
      <w:pPr>
        <w:pStyle w:val="ListBullet2"/>
      </w:pPr>
      <w:r w:rsidRPr="007C0012">
        <w:t>social and cultural determinants of health</w:t>
      </w:r>
    </w:p>
    <w:p w:rsidR="00000000" w:rsidRPr="007C0012" w:rsidP="007C0012">
      <w:pPr>
        <w:pStyle w:val="ListBullet2"/>
      </w:pPr>
      <w:r w:rsidRPr="007C0012">
        <w:t xml:space="preserve">susceptible tooth surfaces </w:t>
      </w:r>
    </w:p>
    <w:p w:rsidR="00000000" w:rsidRPr="007C0012" w:rsidP="007C0012">
      <w:pPr>
        <w:pStyle w:val="ListBullet2"/>
      </w:pPr>
      <w:r w:rsidRPr="007C0012">
        <w:t>transmission of bacteria particularly from family/carer to child</w:t>
      </w:r>
    </w:p>
    <w:p w:rsidR="00000000" w:rsidRPr="007C0012" w:rsidP="007C0012">
      <w:pPr>
        <w:pStyle w:val="ListBullet2"/>
      </w:pPr>
      <w:r w:rsidRPr="007C0012">
        <w:t>teeth misalignment causing trauma to teeth</w:t>
      </w:r>
    </w:p>
    <w:p w:rsidR="00000000" w:rsidRPr="007C0012" w:rsidP="007C0012">
      <w:pPr>
        <w:pStyle w:val="ListBullet2"/>
      </w:pPr>
      <w:r w:rsidRPr="007C0012">
        <w:t>trauma to mouth as a result of an accident</w:t>
      </w:r>
    </w:p>
    <w:p w:rsidR="00000000" w:rsidRPr="007C0012" w:rsidP="007C0012">
      <w:pPr>
        <w:pStyle w:val="ListBullet"/>
      </w:pPr>
      <w:r w:rsidRPr="007C0012">
        <w:t>healthy</w:t>
      </w:r>
      <w:r w:rsidRPr="007C0012">
        <w:t xml:space="preserve"> eating recommendations as identified in the </w:t>
      </w:r>
      <w:r w:rsidRPr="007C0012">
        <w:rPr>
          <w:rStyle w:val="Emphasis"/>
        </w:rPr>
        <w:t>National health and medical research council’s (NHMRC) Australian dietary guidelines</w:t>
      </w:r>
    </w:p>
    <w:p w:rsidR="00000000" w:rsidRPr="007C0012" w:rsidP="007C0012">
      <w:pPr>
        <w:pStyle w:val="AllowPageBreak"/>
      </w:pPr>
    </w:p>
    <w:p w:rsidR="00000000" w:rsidRPr="007C0012" w:rsidP="007C0012">
      <w:pPr>
        <w:pStyle w:val="Heading1"/>
      </w:pPr>
      <w:bookmarkStart w:id="10" w:name="O_744278"/>
      <w:bookmarkEnd w:id="10"/>
      <w:r w:rsidRPr="007C0012">
        <w:t>Assessment Conditions</w:t>
      </w:r>
    </w:p>
    <w:p w:rsidR="00000000" w:rsidRPr="007C0012" w:rsidP="00C001C7">
      <w:pPr>
        <w:pStyle w:val="BodyText"/>
      </w:pPr>
      <w:r w:rsidRPr="007C0012">
        <w:t>Skills and knowledge must be demonstrated in the workplace with th</w:t>
      </w:r>
      <w:r w:rsidRPr="007C0012">
        <w:t xml:space="preserve">e addition of simulations and scenarios where the full range of contexts and situations cannot be provided in the workplace or may occur only rarely. </w:t>
      </w:r>
    </w:p>
    <w:p w:rsidR="00000000" w:rsidRPr="007C0012" w:rsidP="00C001C7">
      <w:pPr>
        <w:pStyle w:val="BodyText"/>
      </w:pPr>
      <w:r w:rsidRPr="007C0012">
        <w:t>The following aspect of the performance evidence must have been demonstrated using 10 simulation scenari</w:t>
      </w:r>
      <w:r w:rsidRPr="007C0012">
        <w:t>os prior to demonstration in the workplace or with members of the general public:</w:t>
      </w:r>
    </w:p>
    <w:p w:rsidR="00000000" w:rsidRPr="007C0012" w:rsidP="007C0012">
      <w:pPr>
        <w:pStyle w:val="ListBullet"/>
      </w:pPr>
      <w:r w:rsidRPr="007C0012">
        <w:t>performing a visual oral health check</w:t>
      </w:r>
    </w:p>
    <w:p w:rsidR="00000000" w:rsidRPr="007C0012" w:rsidP="007C0012">
      <w:pPr>
        <w:pStyle w:val="BodyText"/>
      </w:pPr>
    </w:p>
    <w:p w:rsidR="00000000" w:rsidRPr="007C0012" w:rsidP="00C001C7">
      <w:pPr>
        <w:pStyle w:val="Heading3"/>
      </w:pPr>
      <w:r w:rsidRPr="007C0012">
        <w:t>The following conditions must be met for this unit</w:t>
      </w:r>
    </w:p>
    <w:p w:rsidR="00000000" w:rsidRPr="007C0012" w:rsidP="007C0012">
      <w:pPr>
        <w:pStyle w:val="ListBullet"/>
      </w:pPr>
      <w:r w:rsidRPr="007C0012">
        <w:t xml:space="preserve">use of suitable equipment and resources, including: </w:t>
      </w:r>
    </w:p>
    <w:p w:rsidR="00000000" w:rsidRPr="007C0012" w:rsidP="007C0012">
      <w:pPr>
        <w:pStyle w:val="ListBullet2"/>
      </w:pPr>
      <w:r w:rsidRPr="007C0012">
        <w:t>appropriate personal protect</w:t>
      </w:r>
      <w:r w:rsidRPr="007C0012">
        <w:t>ive equipment (PPE)</w:t>
      </w:r>
    </w:p>
    <w:p w:rsidR="00000000" w:rsidRPr="007C0012" w:rsidP="007C0012">
      <w:pPr>
        <w:pStyle w:val="ListBullet2"/>
      </w:pPr>
      <w:r w:rsidRPr="007C0012">
        <w:rPr>
          <w:rStyle w:val="Emphasis"/>
        </w:rPr>
        <w:t>Dental board of Australia – dental</w:t>
      </w:r>
      <w:r w:rsidRPr="007C0012">
        <w:t xml:space="preserve"> </w:t>
      </w:r>
      <w:r w:rsidRPr="007C0012">
        <w:rPr>
          <w:rStyle w:val="Emphasis"/>
        </w:rPr>
        <w:t>guidelines</w:t>
      </w:r>
      <w:r w:rsidRPr="007C0012">
        <w:t xml:space="preserve"> on infection control on which the candidate bases the planning process</w:t>
      </w:r>
    </w:p>
    <w:p w:rsidR="00000000" w:rsidRPr="007C0012" w:rsidP="007C0012">
      <w:pPr>
        <w:pStyle w:val="ListBullet"/>
      </w:pPr>
      <w:r w:rsidRPr="007C0012">
        <w:t>modelling of industry operating conditions, including access to people for the simulated scenarios</w:t>
      </w:r>
    </w:p>
    <w:p w:rsidR="00000000" w:rsidRPr="007C0012" w:rsidP="007C0012">
      <w:pPr>
        <w:pStyle w:val="BodyText"/>
      </w:pPr>
    </w:p>
    <w:p w:rsidR="00000000" w:rsidRPr="007C0012" w:rsidP="00C001C7">
      <w:pPr>
        <w:pStyle w:val="BodyText"/>
      </w:pPr>
      <w:r w:rsidRPr="007C0012">
        <w:t>Assessors must satisfy the Standards for Registered Training Organisations (RTOs) 2015/AQTF mandatory competency requirements for assessors.</w:t>
      </w:r>
    </w:p>
    <w:p w:rsidR="00000000" w:rsidRPr="007C0012" w:rsidP="007C0012">
      <w:pPr>
        <w:pStyle w:val="Heading1"/>
      </w:pPr>
      <w:bookmarkStart w:id="11" w:name="O_744281"/>
      <w:bookmarkEnd w:id="11"/>
      <w:r w:rsidRPr="007C0012">
        <w:t>Links</w:t>
      </w:r>
    </w:p>
    <w:p w:rsidR="00000000" w:rsidRPr="007C0012" w:rsidP="00C001C7">
      <w:pPr>
        <w:pStyle w:val="BodyText"/>
      </w:pPr>
      <w:r w:rsidRPr="007C00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F54F2">
        <w:rPr>
          <w:rStyle w:val="Hyperlink"/>
        </w:rPr>
        <w:t>https://vetnet.gov.au/Pages/TrainingDocs.aspx?q=ced1390f-48d9-4ab0-bd50-b015e5485705</w:t>
      </w:r>
      <w:r>
        <w:fldChar w:fldCharType="end"/>
      </w:r>
    </w:p>
    <w:p w:rsidR="00000000" w:rsidRPr="007C0012" w:rsidP="007C0012"/>
    <w:sectPr w:rsidSect="007C00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rsidRPr="00C001C7" w:rsidP="00C00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C7" w:rsidP="007C0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1C7" w:rsidP="007C00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01C7" w:rsidP="007C00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rsidP="007C0012">
    <w:pPr>
      <w:pStyle w:val="Footer"/>
      <w:framePr w:wrap="around"/>
    </w:pPr>
    <w:r>
      <w:fldChar w:fldCharType="begin"/>
    </w:r>
    <w:r>
      <w:instrText xml:space="preserve"> DOCPROPERTY  Subject  \* MERGEFORMAT </w:instrText>
    </w:r>
    <w:r>
      <w:fldChar w:fldCharType="separate"/>
    </w:r>
    <w:r w:rsidR="00C001C7">
      <w:t>Approved</w:t>
    </w:r>
    <w:r w:rsidR="00C001C7">
      <w:fldChar w:fldCharType="end"/>
    </w:r>
    <w:r>
      <w:tab/>
      <w:t xml:space="preserve">Page </w:t>
    </w:r>
    <w:r>
      <w:fldChar w:fldCharType="begin"/>
    </w:r>
    <w:r>
      <w:instrText xml:space="preserve"> PAGE  \* Arabic  \* MERGEFORMAT </w:instrText>
    </w:r>
    <w:r>
      <w:fldChar w:fldCharType="separate"/>
    </w:r>
    <w:r w:rsidR="00C001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1C7">
      <w:rPr>
        <w:noProof/>
      </w:rPr>
      <w:t>4</w:t>
    </w:r>
    <w:r>
      <w:rPr>
        <w:noProof/>
      </w:rPr>
      <w:fldChar w:fldCharType="end"/>
    </w:r>
  </w:p>
  <w:p w:rsidR="007C0012" w:rsidP="007C0012">
    <w:pPr>
      <w:pStyle w:val="Footer"/>
      <w:framePr w:wrap="around"/>
    </w:pPr>
    <w:r>
      <w:t xml:space="preserve">© Commonwealth of Australia, </w:t>
    </w:r>
    <w:r>
      <w:fldChar w:fldCharType="begin"/>
    </w:r>
    <w:r>
      <w:instrText xml:space="preserve"> DATE  \@ "yyyy"  \* MERGEFORMAT </w:instrText>
    </w:r>
    <w:r>
      <w:fldChar w:fldCharType="separate"/>
    </w:r>
    <w:r w:rsidR="00C001C7">
      <w:rPr>
        <w:noProof/>
      </w:rPr>
      <w:t>2025</w:t>
    </w:r>
    <w:r>
      <w:fldChar w:fldCharType="end"/>
    </w:r>
    <w:r>
      <w:tab/>
    </w:r>
    <w:r>
      <w:fldChar w:fldCharType="begin"/>
    </w:r>
    <w:r>
      <w:instrText xml:space="preserve"> DOCPROPERTY  Author  \* MERGEFORMAT </w:instrText>
    </w:r>
    <w:r>
      <w:fldChar w:fldCharType="separate"/>
    </w:r>
    <w:r w:rsidR="00C001C7">
      <w:t>HumanAbility</w:t>
    </w:r>
    <w:r w:rsidR="00C001C7">
      <w:fldChar w:fldCharType="end"/>
    </w:r>
  </w:p>
  <w:p w:rsidR="007C0012" w:rsidP="007C0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012" w:rsidRPr="00C001C7" w:rsidP="00C00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C7" w:rsidRPr="002D2AF8" w:rsidP="007C0012">
    <w:pPr>
      <w:pStyle w:val="Header"/>
      <w:framePr w:wrap="around"/>
    </w:pPr>
    <w:r>
      <w:fldChar w:fldCharType="begin"/>
    </w:r>
    <w:r>
      <w:instrText xml:space="preserve"> TITLE   \* MERGEFORMAT </w:instrText>
    </w:r>
    <w:r>
      <w:fldChar w:fldCharType="separate"/>
    </w:r>
    <w:r>
      <w:t>HLTOHC001 Recognise and respond to oral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1C7" w:rsidP="007C00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12" w:rsidRPr="002D2AF8" w:rsidP="007C0012">
    <w:pPr>
      <w:pStyle w:val="Header"/>
      <w:framePr w:wrap="around"/>
    </w:pPr>
    <w:r>
      <w:fldChar w:fldCharType="begin"/>
    </w:r>
    <w:r>
      <w:instrText xml:space="preserve"> TITLE   \* MERGEFORMAT </w:instrText>
    </w:r>
    <w:r>
      <w:fldChar w:fldCharType="separate"/>
    </w:r>
    <w:r w:rsidR="00C001C7">
      <w:t>HLTOHC001 Recognise and respond to oral health issues</w:t>
    </w:r>
    <w:r w:rsidR="00C001C7">
      <w:fldChar w:fldCharType="end"/>
    </w:r>
    <w:r>
      <w:tab/>
      <w:t xml:space="preserve">Date this document was generated: </w:t>
    </w:r>
    <w:r>
      <w:fldChar w:fldCharType="begin"/>
    </w:r>
    <w:r>
      <w:instrText xml:space="preserve"> CREATEDATE  \@ "d MMMM yyyy"  \* MERGEFORMAT </w:instrText>
    </w:r>
    <w:r>
      <w:fldChar w:fldCharType="separate"/>
    </w:r>
    <w:r w:rsidR="00C001C7">
      <w:rPr>
        <w:noProof/>
      </w:rPr>
      <w:t>2 March 2025</w:t>
    </w:r>
    <w:r>
      <w:fldChar w:fldCharType="end"/>
    </w:r>
  </w:p>
  <w:p w:rsidR="007C0012" w:rsidP="007C0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E2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26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26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012"/>
    <w:pPr>
      <w:spacing w:before="360" w:after="60"/>
      <w:outlineLvl w:val="0"/>
    </w:pPr>
    <w:rPr>
      <w:sz w:val="32"/>
    </w:rPr>
  </w:style>
  <w:style w:type="paragraph" w:styleId="Heading2">
    <w:name w:val="heading 2"/>
    <w:basedOn w:val="HeadingBase"/>
    <w:next w:val="BodyText"/>
    <w:link w:val="Heading2Char"/>
    <w:qFormat/>
    <w:rsid w:val="007C0012"/>
    <w:pPr>
      <w:keepLines/>
      <w:spacing w:before="240" w:after="120"/>
      <w:outlineLvl w:val="1"/>
    </w:pPr>
    <w:rPr>
      <w:sz w:val="28"/>
      <w:szCs w:val="40"/>
    </w:rPr>
  </w:style>
  <w:style w:type="paragraph" w:styleId="Heading3">
    <w:name w:val="heading 3"/>
    <w:basedOn w:val="HeadingBase"/>
    <w:next w:val="BodyText"/>
    <w:link w:val="Heading3Char"/>
    <w:qFormat/>
    <w:rsid w:val="007C0012"/>
    <w:pPr>
      <w:spacing w:before="180" w:after="120"/>
      <w:outlineLvl w:val="2"/>
    </w:pPr>
    <w:rPr>
      <w:spacing w:val="-10"/>
      <w:kern w:val="32"/>
    </w:rPr>
  </w:style>
  <w:style w:type="paragraph" w:styleId="Heading4">
    <w:name w:val="heading 4"/>
    <w:basedOn w:val="HeadingBase"/>
    <w:next w:val="BodyText"/>
    <w:link w:val="Heading4Char"/>
    <w:qFormat/>
    <w:rsid w:val="007C0012"/>
    <w:pPr>
      <w:spacing w:before="160" w:after="120"/>
      <w:outlineLvl w:val="3"/>
    </w:pPr>
    <w:rPr>
      <w:sz w:val="22"/>
    </w:rPr>
  </w:style>
  <w:style w:type="paragraph" w:styleId="Heading5">
    <w:name w:val="heading 5"/>
    <w:basedOn w:val="HeadingBase"/>
    <w:next w:val="Normal"/>
    <w:link w:val="Heading5Char"/>
    <w:qFormat/>
    <w:rsid w:val="007C0012"/>
    <w:pPr>
      <w:spacing w:before="80"/>
      <w:outlineLvl w:val="4"/>
    </w:pPr>
    <w:rPr>
      <w:color w:val="918585"/>
      <w:sz w:val="20"/>
    </w:rPr>
  </w:style>
  <w:style w:type="paragraph" w:styleId="Heading6">
    <w:name w:val="heading 6"/>
    <w:basedOn w:val="HeadingBase"/>
    <w:next w:val="Normal"/>
    <w:link w:val="Heading6Char"/>
    <w:qFormat/>
    <w:rsid w:val="007C0012"/>
    <w:pPr>
      <w:spacing w:before="60"/>
      <w:outlineLvl w:val="5"/>
    </w:pPr>
    <w:rPr>
      <w:color w:val="918585"/>
      <w:sz w:val="20"/>
    </w:rPr>
  </w:style>
  <w:style w:type="paragraph" w:styleId="Heading7">
    <w:name w:val="heading 7"/>
    <w:basedOn w:val="Normal"/>
    <w:next w:val="Normal"/>
    <w:link w:val="Heading7Char"/>
    <w:qFormat/>
    <w:rsid w:val="007C0012"/>
    <w:pPr>
      <w:ind w:left="720"/>
      <w:outlineLvl w:val="6"/>
    </w:pPr>
    <w:rPr>
      <w:i/>
    </w:rPr>
  </w:style>
  <w:style w:type="paragraph" w:styleId="Heading8">
    <w:name w:val="heading 8"/>
    <w:basedOn w:val="Normal"/>
    <w:next w:val="Normal"/>
    <w:link w:val="Heading8Char"/>
    <w:qFormat/>
    <w:rsid w:val="007C0012"/>
    <w:pPr>
      <w:ind w:left="720"/>
      <w:outlineLvl w:val="7"/>
    </w:pPr>
    <w:rPr>
      <w:i/>
    </w:rPr>
  </w:style>
  <w:style w:type="paragraph" w:styleId="Heading9">
    <w:name w:val="heading 9"/>
    <w:basedOn w:val="Normal"/>
    <w:next w:val="Normal"/>
    <w:link w:val="Heading9Char"/>
    <w:qFormat/>
    <w:rsid w:val="007C0012"/>
    <w:pPr>
      <w:ind w:left="720"/>
      <w:outlineLvl w:val="8"/>
    </w:pPr>
    <w:rPr>
      <w:i/>
    </w:rPr>
  </w:style>
  <w:style w:type="character" w:default="1" w:styleId="DefaultParagraphFont">
    <w:name w:val="Default Paragraph Font"/>
    <w:uiPriority w:val="1"/>
    <w:unhideWhenUsed/>
    <w:rsid w:val="007C0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012"/>
  </w:style>
  <w:style w:type="character" w:customStyle="1" w:styleId="Heading1Char">
    <w:name w:val="Heading 1 Char"/>
    <w:basedOn w:val="DefaultParagraphFont"/>
    <w:link w:val="Heading1"/>
    <w:rsid w:val="007C0012"/>
    <w:rPr>
      <w:rFonts w:ascii="Times New Roman" w:eastAsia="Times New Roman" w:hAnsi="Times New Roman" w:cs="Times New Roman"/>
      <w:b/>
      <w:sz w:val="32"/>
      <w:szCs w:val="20"/>
      <w:lang w:eastAsia="en-US"/>
    </w:rPr>
  </w:style>
  <w:style w:type="paragraph" w:styleId="BodyText">
    <w:name w:val="Body Text"/>
    <w:basedOn w:val="Normal"/>
    <w:link w:val="BodyTextChar"/>
    <w:rsid w:val="007C00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012"/>
    <w:rPr>
      <w:rFonts w:ascii="Times New Roman" w:eastAsia="Times New Roman" w:hAnsi="Times New Roman" w:cs="Times New Roman"/>
      <w:sz w:val="24"/>
      <w:lang w:eastAsia="en-US"/>
    </w:rPr>
  </w:style>
  <w:style w:type="paragraph" w:styleId="ListBullet">
    <w:name w:val="List Bullet"/>
    <w:basedOn w:val="List"/>
    <w:rsid w:val="007C0012"/>
    <w:pPr>
      <w:numPr>
        <w:numId w:val="12"/>
      </w:numPr>
      <w:tabs>
        <w:tab w:val="clear" w:pos="340"/>
      </w:tabs>
      <w:spacing w:before="40" w:after="40"/>
    </w:pPr>
  </w:style>
  <w:style w:type="character" w:customStyle="1" w:styleId="SpecialBold">
    <w:name w:val="Special Bold"/>
    <w:basedOn w:val="DefaultParagraphFont"/>
    <w:rsid w:val="007C0012"/>
    <w:rPr>
      <w:b/>
      <w:spacing w:val="0"/>
    </w:rPr>
  </w:style>
  <w:style w:type="paragraph" w:styleId="ListBullet2">
    <w:name w:val="List Bullet 2"/>
    <w:basedOn w:val="List2"/>
    <w:rsid w:val="007C0012"/>
    <w:pPr>
      <w:numPr>
        <w:numId w:val="13"/>
      </w:numPr>
      <w:tabs>
        <w:tab w:val="clear" w:pos="680"/>
      </w:tabs>
    </w:pPr>
  </w:style>
  <w:style w:type="character" w:styleId="Emphasis">
    <w:name w:val="Emphasis"/>
    <w:basedOn w:val="DefaultParagraphFont"/>
    <w:qFormat/>
    <w:rsid w:val="007C0012"/>
    <w:rPr>
      <w:i/>
    </w:rPr>
  </w:style>
  <w:style w:type="paragraph" w:customStyle="1" w:styleId="SuperHeading">
    <w:name w:val="SuperHeading"/>
    <w:basedOn w:val="Normal"/>
    <w:rsid w:val="007C0012"/>
    <w:pPr>
      <w:spacing w:before="240" w:after="120"/>
      <w:outlineLvl w:val="0"/>
    </w:pPr>
    <w:rPr>
      <w:rFonts w:ascii="Times New Roman" w:hAnsi="Times New Roman"/>
      <w:b/>
      <w:sz w:val="32"/>
    </w:rPr>
  </w:style>
  <w:style w:type="paragraph" w:customStyle="1" w:styleId="AllowPageBreak">
    <w:name w:val="AllowPageBreak"/>
    <w:rsid w:val="007C00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012"/>
    <w:rPr>
      <w:rFonts w:ascii="Courier New" w:eastAsia="Times New Roman" w:hAnsi="Courier New" w:cs="Times New Roman"/>
      <w:i/>
      <w:szCs w:val="20"/>
      <w:lang w:eastAsia="en-US"/>
    </w:rPr>
  </w:style>
  <w:style w:type="paragraph" w:customStyle="1" w:styleId="HeadingBase">
    <w:name w:val="Heading Base"/>
    <w:rsid w:val="007C0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012"/>
    <w:pPr>
      <w:tabs>
        <w:tab w:val="right" w:leader="dot" w:pos="9072"/>
      </w:tabs>
      <w:ind w:left="567"/>
    </w:pPr>
    <w:rPr>
      <w:szCs w:val="22"/>
    </w:rPr>
  </w:style>
  <w:style w:type="paragraph" w:customStyle="1" w:styleId="TOCBase">
    <w:name w:val="TOC Base"/>
    <w:rsid w:val="007C0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012"/>
    <w:pPr>
      <w:tabs>
        <w:tab w:val="right" w:leader="dot" w:pos="9072"/>
      </w:tabs>
      <w:spacing w:before="40" w:after="40"/>
      <w:ind w:left="284"/>
    </w:pPr>
    <w:rPr>
      <w:rFonts w:ascii="Times New Roman" w:hAnsi="Times New Roman"/>
    </w:rPr>
  </w:style>
  <w:style w:type="paragraph" w:styleId="TOC1">
    <w:name w:val="toc 1"/>
    <w:basedOn w:val="TOCBase"/>
    <w:next w:val="Normal"/>
    <w:rsid w:val="007C0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012"/>
    <w:rPr>
      <w:rFonts w:ascii="Times New Roman" w:eastAsia="Times New Roman" w:hAnsi="Times New Roman" w:cs="Times New Roman"/>
      <w:sz w:val="16"/>
      <w:lang w:eastAsia="en-US"/>
    </w:rPr>
  </w:style>
  <w:style w:type="paragraph" w:styleId="Title">
    <w:name w:val="Title"/>
    <w:basedOn w:val="HeadingBase"/>
    <w:link w:val="TitleChar"/>
    <w:qFormat/>
    <w:rsid w:val="007C0012"/>
    <w:pPr>
      <w:spacing w:before="5040"/>
      <w:jc w:val="center"/>
    </w:pPr>
    <w:rPr>
      <w:sz w:val="48"/>
      <w:szCs w:val="72"/>
      <w:lang w:val="en-US"/>
    </w:rPr>
  </w:style>
  <w:style w:type="character" w:customStyle="1" w:styleId="TitleChar">
    <w:name w:val="Title Char"/>
    <w:basedOn w:val="DefaultParagraphFont"/>
    <w:link w:val="Title"/>
    <w:rsid w:val="007C0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012"/>
    <w:pPr>
      <w:tabs>
        <w:tab w:val="left" w:pos="3600"/>
        <w:tab w:val="left" w:pos="3958"/>
      </w:tabs>
    </w:pPr>
  </w:style>
  <w:style w:type="paragraph" w:styleId="List">
    <w:name w:val="List"/>
    <w:basedOn w:val="BodyText"/>
    <w:next w:val="BodyText"/>
    <w:rsid w:val="007C0012"/>
    <w:pPr>
      <w:tabs>
        <w:tab w:val="left" w:pos="340"/>
      </w:tabs>
      <w:spacing w:before="60" w:after="60"/>
      <w:ind w:left="340" w:hanging="340"/>
    </w:pPr>
  </w:style>
  <w:style w:type="paragraph" w:customStyle="1" w:styleId="Note">
    <w:name w:val="Note"/>
    <w:basedOn w:val="BodyText"/>
    <w:rsid w:val="007C0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012"/>
    <w:pPr>
      <w:framePr w:wrap="auto" w:hAnchor="text" w:y="6049"/>
    </w:pPr>
    <w:rPr>
      <w:color w:val="000000"/>
      <w:sz w:val="40"/>
    </w:rPr>
  </w:style>
  <w:style w:type="paragraph" w:customStyle="1" w:styleId="TOCTitle">
    <w:name w:val="TOCTitle"/>
    <w:basedOn w:val="Heading1"/>
    <w:rsid w:val="007C0012"/>
    <w:pPr>
      <w:spacing w:after="240"/>
      <w:jc w:val="center"/>
      <w:outlineLvl w:val="9"/>
    </w:pPr>
    <w:rPr>
      <w:caps/>
    </w:rPr>
  </w:style>
  <w:style w:type="paragraph" w:customStyle="1" w:styleId="Version">
    <w:name w:val="Version"/>
    <w:rsid w:val="007C0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012"/>
    <w:pPr>
      <w:keepNext w:val="0"/>
      <w:tabs>
        <w:tab w:val="right" w:pos="4176"/>
      </w:tabs>
      <w:ind w:left="198" w:hanging="198"/>
    </w:pPr>
    <w:rPr>
      <w:rFonts w:ascii="Garamond" w:hAnsi="Garamond"/>
    </w:rPr>
  </w:style>
  <w:style w:type="paragraph" w:styleId="IndexHeading">
    <w:name w:val="index heading"/>
    <w:basedOn w:val="Normal"/>
    <w:next w:val="Index1"/>
    <w:semiHidden/>
    <w:rsid w:val="007C0012"/>
    <w:pPr>
      <w:spacing w:before="120" w:after="120"/>
    </w:pPr>
    <w:rPr>
      <w:rFonts w:ascii="Arial" w:hAnsi="Arial"/>
      <w:b/>
      <w:color w:val="918585"/>
      <w:sz w:val="24"/>
    </w:rPr>
  </w:style>
  <w:style w:type="paragraph" w:styleId="Header">
    <w:name w:val="header"/>
    <w:basedOn w:val="Normal"/>
    <w:link w:val="HeaderChar"/>
    <w:rsid w:val="007C0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012"/>
    <w:rPr>
      <w:rFonts w:ascii="Times New Roman" w:eastAsia="Times New Roman" w:hAnsi="Times New Roman" w:cs="Times New Roman"/>
      <w:sz w:val="16"/>
      <w:szCs w:val="20"/>
      <w:lang w:val="en-GB" w:eastAsia="en-US"/>
    </w:rPr>
  </w:style>
  <w:style w:type="paragraph" w:customStyle="1" w:styleId="Chapter">
    <w:name w:val="Chapter"/>
    <w:basedOn w:val="Normal"/>
    <w:rsid w:val="007C0012"/>
    <w:pPr>
      <w:spacing w:before="240"/>
    </w:pPr>
    <w:rPr>
      <w:rFonts w:ascii="Times New Roman" w:hAnsi="Times New Roman"/>
      <w:smallCaps/>
      <w:spacing w:val="80"/>
      <w:sz w:val="28"/>
    </w:rPr>
  </w:style>
  <w:style w:type="paragraph" w:customStyle="1" w:styleId="InChapter">
    <w:name w:val="InChapter"/>
    <w:basedOn w:val="Heading3"/>
    <w:rsid w:val="007C0012"/>
    <w:pPr>
      <w:spacing w:after="240"/>
      <w:outlineLvl w:val="9"/>
    </w:pPr>
    <w:rPr>
      <w:noProof/>
    </w:rPr>
  </w:style>
  <w:style w:type="paragraph" w:styleId="Index2">
    <w:name w:val="index 2"/>
    <w:basedOn w:val="Normal"/>
    <w:next w:val="Normal"/>
    <w:semiHidden/>
    <w:rsid w:val="007C0012"/>
    <w:pPr>
      <w:tabs>
        <w:tab w:val="right" w:pos="4176"/>
      </w:tabs>
      <w:ind w:left="568" w:hanging="284"/>
    </w:pPr>
    <w:rPr>
      <w:rFonts w:ascii="Garamond" w:hAnsi="Garamond"/>
    </w:rPr>
  </w:style>
  <w:style w:type="paragraph" w:customStyle="1" w:styleId="Byline">
    <w:name w:val="Byline"/>
    <w:rsid w:val="007C0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012"/>
    <w:pPr>
      <w:tabs>
        <w:tab w:val="clear" w:pos="3600"/>
        <w:tab w:val="clear" w:pos="3958"/>
      </w:tabs>
      <w:jc w:val="right"/>
    </w:pPr>
  </w:style>
  <w:style w:type="paragraph" w:styleId="Caption">
    <w:name w:val="caption"/>
    <w:basedOn w:val="BodyText"/>
    <w:next w:val="Normal"/>
    <w:qFormat/>
    <w:rsid w:val="007C0012"/>
    <w:pPr>
      <w:framePr w:w="2268" w:hSpace="181" w:vSpace="181" w:wrap="around" w:vAnchor="text" w:hAnchor="page" w:x="1135" w:y="285" w:anchorLock="1"/>
    </w:pPr>
    <w:rPr>
      <w:i/>
    </w:rPr>
  </w:style>
  <w:style w:type="paragraph" w:customStyle="1" w:styleId="MiniTOCTitle">
    <w:name w:val="MiniTOCTitle"/>
    <w:basedOn w:val="Heading4"/>
    <w:rsid w:val="007C0012"/>
    <w:pPr>
      <w:spacing w:before="240"/>
      <w:outlineLvl w:val="9"/>
    </w:pPr>
    <w:rPr>
      <w:noProof/>
      <w:sz w:val="24"/>
    </w:rPr>
  </w:style>
  <w:style w:type="paragraph" w:customStyle="1" w:styleId="MiniTOCItem">
    <w:name w:val="MiniTOCItem"/>
    <w:basedOn w:val="ListBullet"/>
    <w:rsid w:val="007C0012"/>
    <w:pPr>
      <w:numPr>
        <w:numId w:val="0"/>
      </w:numPr>
      <w:tabs>
        <w:tab w:val="right" w:leader="dot" w:pos="6521"/>
      </w:tabs>
      <w:spacing w:before="0" w:after="0"/>
    </w:pPr>
  </w:style>
  <w:style w:type="paragraph" w:customStyle="1" w:styleId="TOFTitle">
    <w:name w:val="TOFTitle"/>
    <w:basedOn w:val="TOCTitle"/>
    <w:rsid w:val="007C0012"/>
  </w:style>
  <w:style w:type="paragraph" w:styleId="TableofFigures">
    <w:name w:val="table of figures"/>
    <w:basedOn w:val="Normal"/>
    <w:next w:val="Normal"/>
    <w:semiHidden/>
    <w:rsid w:val="007C0012"/>
    <w:pPr>
      <w:tabs>
        <w:tab w:val="right" w:leader="dot" w:pos="9072"/>
      </w:tabs>
      <w:ind w:left="970" w:hanging="403"/>
    </w:pPr>
    <w:rPr>
      <w:rFonts w:ascii="Times New Roman" w:hAnsi="Times New Roman"/>
      <w:b/>
    </w:rPr>
  </w:style>
  <w:style w:type="paragraph" w:styleId="ListNumber">
    <w:name w:val="List Number"/>
    <w:basedOn w:val="List"/>
    <w:rsid w:val="007C0012"/>
    <w:pPr>
      <w:numPr>
        <w:numId w:val="15"/>
      </w:numPr>
      <w:tabs>
        <w:tab w:val="clear" w:pos="340"/>
      </w:tabs>
    </w:pPr>
  </w:style>
  <w:style w:type="character" w:customStyle="1" w:styleId="WingdingSymbols">
    <w:name w:val="Wingding Symbols"/>
    <w:rsid w:val="007C0012"/>
    <w:rPr>
      <w:rFonts w:ascii="Wingdings" w:hAnsi="Wingdings"/>
    </w:rPr>
  </w:style>
  <w:style w:type="paragraph" w:customStyle="1" w:styleId="TableHeading">
    <w:name w:val="Table Heading"/>
    <w:basedOn w:val="HeadingBase"/>
    <w:rsid w:val="007C0012"/>
    <w:pPr>
      <w:keepLines/>
      <w:pBdr>
        <w:bottom w:val="single" w:sz="6" w:space="1" w:color="918585"/>
      </w:pBdr>
      <w:spacing w:before="240"/>
    </w:pPr>
  </w:style>
  <w:style w:type="character" w:customStyle="1" w:styleId="HotSpot">
    <w:name w:val="HotSpot"/>
    <w:rsid w:val="007C0012"/>
    <w:rPr>
      <w:color w:val="0033CC"/>
      <w:u w:val="none"/>
    </w:rPr>
  </w:style>
  <w:style w:type="paragraph" w:customStyle="1" w:styleId="BodyTextRight">
    <w:name w:val="Body Text Right"/>
    <w:basedOn w:val="BodyText"/>
    <w:rsid w:val="007C0012"/>
    <w:pPr>
      <w:spacing w:before="0" w:after="0"/>
      <w:jc w:val="right"/>
    </w:pPr>
  </w:style>
  <w:style w:type="paragraph" w:styleId="Index3">
    <w:name w:val="index 3"/>
    <w:basedOn w:val="ListNumber2"/>
    <w:next w:val="Normal"/>
    <w:semiHidden/>
    <w:rsid w:val="007C0012"/>
    <w:pPr>
      <w:numPr>
        <w:numId w:val="0"/>
      </w:numPr>
      <w:tabs>
        <w:tab w:val="right" w:leader="dot" w:pos="4176"/>
      </w:tabs>
    </w:pPr>
  </w:style>
  <w:style w:type="paragraph" w:styleId="ListNumber2">
    <w:name w:val="List Number 2"/>
    <w:basedOn w:val="List2"/>
    <w:rsid w:val="007C0012"/>
    <w:pPr>
      <w:numPr>
        <w:numId w:val="10"/>
      </w:numPr>
      <w:tabs>
        <w:tab w:val="clear" w:pos="1060"/>
      </w:tabs>
    </w:pPr>
  </w:style>
  <w:style w:type="paragraph" w:customStyle="1" w:styleId="MarginNote">
    <w:name w:val="Margin Note"/>
    <w:basedOn w:val="BodyText"/>
    <w:rsid w:val="007C0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012"/>
    <w:rPr>
      <w:sz w:val="32"/>
    </w:rPr>
  </w:style>
  <w:style w:type="paragraph" w:customStyle="1" w:styleId="HeadingProcedure">
    <w:name w:val="Heading Procedure"/>
    <w:basedOn w:val="HeadingBase"/>
    <w:next w:val="Normal"/>
    <w:rsid w:val="007C0012"/>
    <w:pPr>
      <w:tabs>
        <w:tab w:val="left" w:pos="0"/>
      </w:tabs>
      <w:spacing w:before="120" w:after="60"/>
    </w:pPr>
    <w:rPr>
      <w:i/>
      <w:color w:val="918585"/>
      <w:sz w:val="22"/>
    </w:rPr>
  </w:style>
  <w:style w:type="paragraph" w:customStyle="1" w:styleId="TableBodyText">
    <w:name w:val="Table Body Text"/>
    <w:basedOn w:val="BodyText"/>
    <w:rsid w:val="007C0012"/>
    <w:pPr>
      <w:spacing w:before="60" w:after="60"/>
    </w:pPr>
  </w:style>
  <w:style w:type="paragraph" w:styleId="ListContinue">
    <w:name w:val="List Continue"/>
    <w:basedOn w:val="List"/>
    <w:rsid w:val="007C0012"/>
    <w:pPr>
      <w:ind w:firstLine="0"/>
    </w:pPr>
  </w:style>
  <w:style w:type="paragraph" w:customStyle="1" w:styleId="ListNote">
    <w:name w:val="List Note"/>
    <w:basedOn w:val="List"/>
    <w:rsid w:val="007C0012"/>
    <w:pPr>
      <w:pBdr>
        <w:top w:val="single" w:sz="6" w:space="2" w:color="918585"/>
        <w:bottom w:val="single" w:sz="6" w:space="2" w:color="918585"/>
      </w:pBdr>
      <w:tabs>
        <w:tab w:val="left" w:pos="1021"/>
      </w:tabs>
      <w:ind w:firstLine="0"/>
    </w:pPr>
  </w:style>
  <w:style w:type="paragraph" w:customStyle="1" w:styleId="Warning">
    <w:name w:val="Warning"/>
    <w:basedOn w:val="BodyText"/>
    <w:rsid w:val="007C0012"/>
    <w:pPr>
      <w:shd w:val="clear" w:color="auto" w:fill="D9D9D9"/>
      <w:tabs>
        <w:tab w:val="left" w:pos="992"/>
      </w:tabs>
      <w:ind w:left="119" w:right="119"/>
    </w:pPr>
    <w:rPr>
      <w:sz w:val="20"/>
    </w:rPr>
  </w:style>
  <w:style w:type="paragraph" w:customStyle="1" w:styleId="MarginIcons">
    <w:name w:val="Margin Icons"/>
    <w:basedOn w:val="BodyText"/>
    <w:rsid w:val="007C0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012"/>
    <w:rPr>
      <w:rFonts w:ascii="Courier New" w:hAnsi="Courier New"/>
    </w:rPr>
  </w:style>
  <w:style w:type="paragraph" w:customStyle="1" w:styleId="NoteBullet">
    <w:name w:val="Note Bullet"/>
    <w:basedOn w:val="Note"/>
    <w:rsid w:val="007C0012"/>
    <w:pPr>
      <w:tabs>
        <w:tab w:val="clear" w:pos="680"/>
      </w:tabs>
      <w:spacing w:before="60" w:after="60"/>
    </w:pPr>
  </w:style>
  <w:style w:type="paragraph" w:customStyle="1" w:styleId="SubHeading2">
    <w:name w:val="SubHeading2"/>
    <w:basedOn w:val="HeadingBase"/>
    <w:rsid w:val="007C0012"/>
    <w:pPr>
      <w:spacing w:before="240" w:after="60"/>
    </w:pPr>
    <w:rPr>
      <w:sz w:val="20"/>
    </w:rPr>
  </w:style>
  <w:style w:type="paragraph" w:customStyle="1" w:styleId="SubHeading1">
    <w:name w:val="SubHeading1"/>
    <w:basedOn w:val="HeadingBase"/>
    <w:rsid w:val="007C0012"/>
    <w:pPr>
      <w:spacing w:before="240" w:after="60"/>
    </w:pPr>
    <w:rPr>
      <w:color w:val="918585"/>
      <w:sz w:val="22"/>
    </w:rPr>
  </w:style>
  <w:style w:type="paragraph" w:customStyle="1" w:styleId="SideHeading">
    <w:name w:val="Side Heading"/>
    <w:basedOn w:val="HeadingBase"/>
    <w:rsid w:val="007C0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012"/>
    <w:pPr>
      <w:tabs>
        <w:tab w:val="num" w:pos="360"/>
      </w:tabs>
    </w:pPr>
  </w:style>
  <w:style w:type="paragraph" w:styleId="PlainText">
    <w:name w:val="Plain Text"/>
    <w:basedOn w:val="Normal"/>
    <w:link w:val="PlainTextChar"/>
    <w:rsid w:val="007C0012"/>
    <w:rPr>
      <w:sz w:val="20"/>
    </w:rPr>
  </w:style>
  <w:style w:type="character" w:customStyle="1" w:styleId="PlainTextChar">
    <w:name w:val="Plain Text Char"/>
    <w:basedOn w:val="DefaultParagraphFont"/>
    <w:link w:val="PlainText"/>
    <w:rsid w:val="007C0012"/>
    <w:rPr>
      <w:rFonts w:ascii="Courier New" w:eastAsia="Times New Roman" w:hAnsi="Courier New" w:cs="Times New Roman"/>
      <w:sz w:val="20"/>
      <w:szCs w:val="20"/>
      <w:lang w:eastAsia="en-US"/>
    </w:rPr>
  </w:style>
  <w:style w:type="character" w:customStyle="1" w:styleId="MenuOption">
    <w:name w:val="Menu Option"/>
    <w:basedOn w:val="DefaultParagraphFont"/>
    <w:rsid w:val="007C0012"/>
    <w:rPr>
      <w:b/>
      <w:smallCaps/>
    </w:rPr>
  </w:style>
  <w:style w:type="paragraph" w:customStyle="1" w:styleId="TableListNumber">
    <w:name w:val="Table List Number"/>
    <w:basedOn w:val="ListNumber"/>
    <w:rsid w:val="007C0012"/>
    <w:pPr>
      <w:numPr>
        <w:numId w:val="0"/>
      </w:numPr>
    </w:pPr>
  </w:style>
  <w:style w:type="paragraph" w:styleId="TOC4">
    <w:name w:val="toc 4"/>
    <w:basedOn w:val="TOCBase"/>
    <w:next w:val="Normal"/>
    <w:semiHidden/>
    <w:rsid w:val="007C0012"/>
    <w:pPr>
      <w:tabs>
        <w:tab w:val="right" w:leader="dot" w:pos="9071"/>
      </w:tabs>
      <w:ind w:left="1701"/>
    </w:pPr>
  </w:style>
  <w:style w:type="paragraph" w:customStyle="1" w:styleId="ListAlpha">
    <w:name w:val="List Alpha"/>
    <w:basedOn w:val="List"/>
    <w:rsid w:val="007C0012"/>
    <w:pPr>
      <w:numPr>
        <w:numId w:val="9"/>
      </w:numPr>
    </w:pPr>
  </w:style>
  <w:style w:type="paragraph" w:customStyle="1" w:styleId="ListAlpha2">
    <w:name w:val="List Alpha 2"/>
    <w:basedOn w:val="List2"/>
    <w:rsid w:val="007C0012"/>
    <w:pPr>
      <w:numPr>
        <w:numId w:val="8"/>
      </w:numPr>
    </w:pPr>
  </w:style>
  <w:style w:type="paragraph" w:styleId="List2">
    <w:name w:val="List 2"/>
    <w:basedOn w:val="BodyText"/>
    <w:rsid w:val="007C0012"/>
    <w:pPr>
      <w:tabs>
        <w:tab w:val="left" w:pos="680"/>
      </w:tabs>
      <w:spacing w:before="60" w:after="60"/>
      <w:ind w:left="680" w:hanging="340"/>
    </w:pPr>
  </w:style>
  <w:style w:type="paragraph" w:styleId="List3">
    <w:name w:val="List 3"/>
    <w:basedOn w:val="BodyText"/>
    <w:rsid w:val="007C0012"/>
    <w:pPr>
      <w:tabs>
        <w:tab w:val="left" w:pos="1021"/>
      </w:tabs>
      <w:spacing w:before="60" w:after="60"/>
      <w:ind w:left="1020" w:hanging="340"/>
    </w:pPr>
  </w:style>
  <w:style w:type="paragraph" w:styleId="List4">
    <w:name w:val="List 4"/>
    <w:basedOn w:val="BodyText"/>
    <w:rsid w:val="007C0012"/>
    <w:pPr>
      <w:tabs>
        <w:tab w:val="left" w:pos="1361"/>
      </w:tabs>
      <w:spacing w:before="60" w:after="60"/>
      <w:ind w:left="1361" w:hanging="340"/>
    </w:pPr>
  </w:style>
  <w:style w:type="paragraph" w:styleId="List5">
    <w:name w:val="List 5"/>
    <w:basedOn w:val="BodyText"/>
    <w:rsid w:val="007C0012"/>
    <w:pPr>
      <w:tabs>
        <w:tab w:val="left" w:pos="1701"/>
      </w:tabs>
      <w:spacing w:before="60" w:after="60"/>
      <w:ind w:left="1701" w:hanging="340"/>
    </w:pPr>
  </w:style>
  <w:style w:type="paragraph" w:styleId="ListBullet3">
    <w:name w:val="List Bullet 3"/>
    <w:basedOn w:val="List3"/>
    <w:rsid w:val="007C0012"/>
    <w:pPr>
      <w:numPr>
        <w:numId w:val="14"/>
      </w:numPr>
      <w:tabs>
        <w:tab w:val="clear" w:pos="1021"/>
      </w:tabs>
      <w:ind w:left="1037" w:hanging="357"/>
    </w:pPr>
  </w:style>
  <w:style w:type="paragraph" w:styleId="ListBullet4">
    <w:name w:val="List Bullet 4"/>
    <w:basedOn w:val="List4"/>
    <w:rsid w:val="007C0012"/>
    <w:pPr>
      <w:numPr>
        <w:numId w:val="3"/>
      </w:numPr>
      <w:tabs>
        <w:tab w:val="clear" w:pos="1361"/>
      </w:tabs>
    </w:pPr>
  </w:style>
  <w:style w:type="paragraph" w:styleId="ListBullet5">
    <w:name w:val="List Bullet 5"/>
    <w:basedOn w:val="List5"/>
    <w:rsid w:val="007C0012"/>
    <w:pPr>
      <w:numPr>
        <w:numId w:val="4"/>
      </w:numPr>
    </w:pPr>
  </w:style>
  <w:style w:type="paragraph" w:styleId="ListContinue2">
    <w:name w:val="List Continue 2"/>
    <w:basedOn w:val="List2"/>
    <w:rsid w:val="007C0012"/>
    <w:pPr>
      <w:ind w:firstLine="0"/>
    </w:pPr>
  </w:style>
  <w:style w:type="paragraph" w:styleId="ListContinue3">
    <w:name w:val="List Continue 3"/>
    <w:basedOn w:val="List3"/>
    <w:rsid w:val="007C0012"/>
    <w:pPr>
      <w:ind w:left="1021" w:firstLine="0"/>
    </w:pPr>
  </w:style>
  <w:style w:type="paragraph" w:styleId="ListContinue4">
    <w:name w:val="List Continue 4"/>
    <w:basedOn w:val="List4"/>
    <w:rsid w:val="007C0012"/>
    <w:pPr>
      <w:ind w:firstLine="0"/>
    </w:pPr>
  </w:style>
  <w:style w:type="paragraph" w:styleId="ListContinue5">
    <w:name w:val="List Continue 5"/>
    <w:basedOn w:val="List5"/>
    <w:rsid w:val="007C0012"/>
    <w:pPr>
      <w:ind w:firstLine="0"/>
    </w:pPr>
  </w:style>
  <w:style w:type="paragraph" w:styleId="ListNumber3">
    <w:name w:val="List Number 3"/>
    <w:basedOn w:val="List3"/>
    <w:rsid w:val="007C0012"/>
    <w:pPr>
      <w:numPr>
        <w:numId w:val="5"/>
      </w:numPr>
    </w:pPr>
  </w:style>
  <w:style w:type="paragraph" w:styleId="ListNumber4">
    <w:name w:val="List Number 4"/>
    <w:basedOn w:val="List4"/>
    <w:rsid w:val="007C0012"/>
    <w:pPr>
      <w:numPr>
        <w:numId w:val="6"/>
      </w:numPr>
    </w:pPr>
  </w:style>
  <w:style w:type="paragraph" w:styleId="ListNumber5">
    <w:name w:val="List Number 5"/>
    <w:basedOn w:val="List5"/>
    <w:rsid w:val="007C0012"/>
    <w:pPr>
      <w:numPr>
        <w:numId w:val="7"/>
      </w:numPr>
    </w:pPr>
  </w:style>
  <w:style w:type="paragraph" w:styleId="BlockText">
    <w:name w:val="Block Text"/>
    <w:basedOn w:val="Normal"/>
    <w:rsid w:val="007C0012"/>
    <w:pPr>
      <w:spacing w:after="120"/>
      <w:ind w:left="1440" w:right="1440"/>
    </w:pPr>
  </w:style>
  <w:style w:type="character" w:customStyle="1" w:styleId="Subscript">
    <w:name w:val="Subscript"/>
    <w:basedOn w:val="DefaultParagraphFont"/>
    <w:rsid w:val="007C0012"/>
    <w:rPr>
      <w:sz w:val="16"/>
      <w:vertAlign w:val="subscript"/>
    </w:rPr>
  </w:style>
  <w:style w:type="character" w:customStyle="1" w:styleId="Superscript">
    <w:name w:val="Superscript"/>
    <w:basedOn w:val="DefaultParagraphFont"/>
    <w:rsid w:val="007C0012"/>
    <w:rPr>
      <w:sz w:val="16"/>
      <w:vertAlign w:val="superscript"/>
    </w:rPr>
  </w:style>
  <w:style w:type="character" w:customStyle="1" w:styleId="Symbols">
    <w:name w:val="Symbols"/>
    <w:basedOn w:val="DefaultParagraphFont"/>
    <w:rsid w:val="007C0012"/>
    <w:rPr>
      <w:rFonts w:ascii="Symbol" w:hAnsi="Symbol"/>
    </w:rPr>
  </w:style>
  <w:style w:type="character" w:customStyle="1" w:styleId="MenuOptions">
    <w:name w:val="Menu Options"/>
    <w:basedOn w:val="DefaultParagraphFont"/>
    <w:rsid w:val="007C0012"/>
    <w:rPr>
      <w:rFonts w:ascii="Arial Narrow" w:hAnsi="Arial Narrow"/>
      <w:smallCaps/>
    </w:rPr>
  </w:style>
  <w:style w:type="character" w:customStyle="1" w:styleId="Buttons">
    <w:name w:val="Buttons"/>
    <w:basedOn w:val="DefaultParagraphFont"/>
    <w:rsid w:val="007C0012"/>
    <w:rPr>
      <w:b/>
    </w:rPr>
  </w:style>
  <w:style w:type="character" w:customStyle="1" w:styleId="Underlined">
    <w:name w:val="Underlined"/>
    <w:basedOn w:val="DefaultParagraphFont"/>
    <w:rsid w:val="007C0012"/>
    <w:rPr>
      <w:u w:val="single"/>
    </w:rPr>
  </w:style>
  <w:style w:type="paragraph" w:customStyle="1" w:styleId="TableBodyTextRight">
    <w:name w:val="Table Body Text Right"/>
    <w:basedOn w:val="TableBodyText"/>
    <w:rsid w:val="007C0012"/>
    <w:pPr>
      <w:widowControl w:val="0"/>
      <w:autoSpaceDE w:val="0"/>
      <w:autoSpaceDN w:val="0"/>
      <w:adjustRightInd w:val="0"/>
      <w:jc w:val="right"/>
    </w:pPr>
    <w:rPr>
      <w:rFonts w:cs="Arial"/>
      <w:szCs w:val="18"/>
    </w:rPr>
  </w:style>
  <w:style w:type="paragraph" w:customStyle="1" w:styleId="CopyrightText">
    <w:name w:val="Copyright Text"/>
    <w:basedOn w:val="BodyText"/>
    <w:rsid w:val="007C0012"/>
    <w:rPr>
      <w:sz w:val="18"/>
    </w:rPr>
  </w:style>
  <w:style w:type="paragraph" w:customStyle="1" w:styleId="BodySmallRight">
    <w:name w:val="Body Small Right"/>
    <w:basedOn w:val="BodyTextRight"/>
    <w:rsid w:val="007C0012"/>
    <w:rPr>
      <w:sz w:val="18"/>
      <w:szCs w:val="18"/>
    </w:rPr>
  </w:style>
  <w:style w:type="paragraph" w:customStyle="1" w:styleId="MarginEdition">
    <w:name w:val="Margin Edition"/>
    <w:basedOn w:val="MarginNote"/>
    <w:rsid w:val="007C0012"/>
    <w:pPr>
      <w:spacing w:before="0" w:after="0"/>
    </w:pPr>
    <w:rPr>
      <w:rFonts w:ascii="Times New Roman" w:hAnsi="Times New Roman"/>
      <w:color w:val="999999"/>
    </w:rPr>
  </w:style>
  <w:style w:type="paragraph" w:customStyle="1" w:styleId="Spacer">
    <w:name w:val="Spacer"/>
    <w:basedOn w:val="Normal"/>
    <w:rsid w:val="007C0012"/>
    <w:rPr>
      <w:sz w:val="2"/>
      <w:szCs w:val="2"/>
    </w:rPr>
  </w:style>
  <w:style w:type="character" w:customStyle="1" w:styleId="Small">
    <w:name w:val="Small"/>
    <w:basedOn w:val="DefaultParagraphFont"/>
    <w:rsid w:val="007C0012"/>
    <w:rPr>
      <w:sz w:val="16"/>
    </w:rPr>
  </w:style>
  <w:style w:type="paragraph" w:customStyle="1" w:styleId="WideTable">
    <w:name w:val="Wide Table"/>
    <w:basedOn w:val="Normal"/>
    <w:rsid w:val="007C0012"/>
    <w:pPr>
      <w:ind w:left="-1418"/>
    </w:pPr>
    <w:rPr>
      <w:sz w:val="2"/>
      <w:szCs w:val="2"/>
    </w:rPr>
  </w:style>
  <w:style w:type="character" w:styleId="PageNumber">
    <w:name w:val="page number"/>
    <w:basedOn w:val="DefaultParagraphFont"/>
    <w:rsid w:val="007C0012"/>
  </w:style>
  <w:style w:type="paragraph" w:styleId="Quote">
    <w:name w:val="Quote"/>
    <w:basedOn w:val="Heading1"/>
    <w:link w:val="QuoteChar"/>
    <w:qFormat/>
    <w:rsid w:val="007C0012"/>
    <w:rPr>
      <w:b w:val="0"/>
      <w:sz w:val="72"/>
      <w:szCs w:val="72"/>
      <w:lang w:val="en-NZ"/>
    </w:rPr>
  </w:style>
  <w:style w:type="character" w:customStyle="1" w:styleId="QuoteChar">
    <w:name w:val="Quote Char"/>
    <w:basedOn w:val="DefaultParagraphFont"/>
    <w:link w:val="Quote"/>
    <w:rsid w:val="007C0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012"/>
    <w:pPr>
      <w:pageBreakBefore/>
    </w:pPr>
  </w:style>
  <w:style w:type="paragraph" w:customStyle="1" w:styleId="Border">
    <w:name w:val="Border"/>
    <w:basedOn w:val="Normal"/>
    <w:qFormat/>
    <w:rsid w:val="007C0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012"/>
    <w:rPr>
      <w:b/>
      <w:bCs/>
      <w:i/>
      <w:iCs/>
      <w:color w:val="auto"/>
    </w:rPr>
  </w:style>
  <w:style w:type="paragraph" w:styleId="IntenseQuote">
    <w:name w:val="Intense Quote"/>
    <w:basedOn w:val="Normal"/>
    <w:next w:val="Normal"/>
    <w:link w:val="IntenseQuoteChar"/>
    <w:uiPriority w:val="30"/>
    <w:qFormat/>
    <w:rsid w:val="007C0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012"/>
    <w:rPr>
      <w:smallCaps/>
      <w:color w:val="auto"/>
      <w:u w:val="single"/>
    </w:rPr>
  </w:style>
  <w:style w:type="character" w:styleId="IntenseReference">
    <w:name w:val="Intense Reference"/>
    <w:basedOn w:val="DefaultParagraphFont"/>
    <w:uiPriority w:val="32"/>
    <w:qFormat/>
    <w:rsid w:val="007C0012"/>
    <w:rPr>
      <w:b/>
      <w:bCs/>
      <w:smallCaps/>
      <w:color w:val="auto"/>
      <w:spacing w:val="5"/>
      <w:u w:val="single"/>
    </w:rPr>
  </w:style>
  <w:style w:type="paragraph" w:customStyle="1" w:styleId="2ColumnHeading">
    <w:name w:val="2Column Heading"/>
    <w:basedOn w:val="BodyText"/>
    <w:qFormat/>
    <w:rsid w:val="007C0012"/>
    <w:pPr>
      <w:spacing w:after="60"/>
      <w:ind w:left="-2268"/>
    </w:pPr>
    <w:rPr>
      <w:b/>
    </w:rPr>
  </w:style>
  <w:style w:type="paragraph" w:customStyle="1" w:styleId="Heading1TOC">
    <w:name w:val="Heading1 TOC"/>
    <w:basedOn w:val="Normal"/>
    <w:qFormat/>
    <w:rsid w:val="007C0012"/>
    <w:pPr>
      <w:spacing w:before="240" w:after="120"/>
    </w:pPr>
    <w:rPr>
      <w:rFonts w:ascii="Times New Roman" w:hAnsi="Times New Roman"/>
      <w:b/>
      <w:sz w:val="32"/>
    </w:rPr>
  </w:style>
  <w:style w:type="paragraph" w:customStyle="1" w:styleId="Heading2TOC">
    <w:name w:val="Heading2 TOC"/>
    <w:basedOn w:val="Normal"/>
    <w:qFormat/>
    <w:rsid w:val="007C0012"/>
    <w:pPr>
      <w:spacing w:before="240" w:after="60"/>
    </w:pPr>
    <w:rPr>
      <w:rFonts w:ascii="Times New Roman" w:hAnsi="Times New Roman"/>
      <w:b/>
      <w:sz w:val="28"/>
    </w:rPr>
  </w:style>
  <w:style w:type="character" w:customStyle="1" w:styleId="Underline">
    <w:name w:val="Underline"/>
    <w:basedOn w:val="DefaultParagraphFont"/>
    <w:qFormat/>
    <w:rsid w:val="007C0012"/>
    <w:rPr>
      <w:u w:val="single"/>
    </w:rPr>
  </w:style>
  <w:style w:type="character" w:customStyle="1" w:styleId="BoldandItalics">
    <w:name w:val="Bold and Italics"/>
    <w:qFormat/>
    <w:rsid w:val="007C0012"/>
    <w:rPr>
      <w:b/>
      <w:i/>
      <w:u w:val="none"/>
    </w:rPr>
  </w:style>
  <w:style w:type="paragraph" w:styleId="BalloonText">
    <w:name w:val="Balloon Text"/>
    <w:basedOn w:val="Normal"/>
    <w:link w:val="BalloonTextChar"/>
    <w:rsid w:val="007C0012"/>
    <w:rPr>
      <w:rFonts w:ascii="Tahoma" w:hAnsi="Tahoma" w:cs="Tahoma"/>
      <w:sz w:val="16"/>
      <w:szCs w:val="16"/>
    </w:rPr>
  </w:style>
  <w:style w:type="character" w:customStyle="1" w:styleId="BalloonTextChar">
    <w:name w:val="Balloon Text Char"/>
    <w:basedOn w:val="DefaultParagraphFont"/>
    <w:link w:val="BalloonText"/>
    <w:rsid w:val="007C0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0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012"/>
    <w:rPr>
      <w:b/>
      <w:color w:val="660033"/>
      <w:spacing w:val="0"/>
    </w:rPr>
  </w:style>
  <w:style w:type="paragraph" w:customStyle="1" w:styleId="Nameditemlist">
    <w:name w:val="Named item list"/>
    <w:basedOn w:val="BodyText"/>
    <w:qFormat/>
    <w:rsid w:val="007C0012"/>
    <w:pPr>
      <w:tabs>
        <w:tab w:val="left" w:pos="2835"/>
      </w:tabs>
      <w:ind w:left="2835" w:hanging="2835"/>
    </w:pPr>
  </w:style>
  <w:style w:type="paragraph" w:customStyle="1" w:styleId="BodyTextnopadding">
    <w:name w:val="Body Text no padding"/>
    <w:basedOn w:val="BodyText"/>
    <w:qFormat/>
    <w:rsid w:val="007C0012"/>
    <w:pPr>
      <w:spacing w:before="0" w:after="0"/>
    </w:pPr>
  </w:style>
  <w:style w:type="paragraph" w:customStyle="1" w:styleId="BodyTextBold">
    <w:name w:val="Body Text Bold"/>
    <w:basedOn w:val="BodyText"/>
    <w:qFormat/>
    <w:rsid w:val="007C0012"/>
    <w:rPr>
      <w:b/>
    </w:rPr>
  </w:style>
  <w:style w:type="character" w:styleId="Hyperlink">
    <w:name w:val="Hyperlink"/>
    <w:basedOn w:val="DefaultParagraphFont"/>
    <w:uiPriority w:val="99"/>
    <w:unhideWhenUsed/>
    <w:rsid w:val="00C00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1207</Words>
  <Characters>7393</Characters>
  <Application>Microsoft Office Word</Application>
  <DocSecurity>0</DocSecurity>
  <Lines>211</Lines>
  <Paragraphs>121</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HLTOHC001 Recognise and respond to oral health issues</dc:title>
  <dc:subject>Approved</dc:subject>
  <dc:creator>HumanAbility</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