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A87" w:rsidP="00EC3A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HLTMSG016 Apply principles of pain neuroscience</w:t>
      </w:r>
      <w:r>
        <w:fldChar w:fldCharType="end"/>
      </w:r>
    </w:p>
    <w:p w:rsidR="00EC3A87" w:rsidP="00EC3A87">
      <w:pPr>
        <w:pStyle w:val="Version"/>
        <w:sectPr w:rsidSect="00085E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5E6F" w:rsidP="00085E6F">
      <w:pPr>
        <w:pStyle w:val="SuperHeading"/>
      </w:pPr>
      <w:r w:rsidRPr="00085E6F">
        <w:t>HLTMSG016 Apply principles of pain neuroscience</w:t>
      </w:r>
    </w:p>
    <w:p w:rsidR="00000000" w:rsidRPr="00085E6F" w:rsidP="00085E6F">
      <w:pPr>
        <w:pStyle w:val="Heading1"/>
      </w:pPr>
      <w:bookmarkStart w:id="1" w:name="O_1234788"/>
      <w:bookmarkEnd w:id="1"/>
      <w:r w:rsidRPr="00085E6F">
        <w:t>Modification History</w:t>
      </w:r>
    </w:p>
    <w:p w:rsidR="00000000" w:rsidRPr="00085E6F" w:rsidP="00EC3A87">
      <w:pPr>
        <w:pStyle w:val="BodyText"/>
      </w:pPr>
      <w:r w:rsidRPr="00085E6F">
        <w:t>Not applicable.</w:t>
      </w:r>
    </w:p>
    <w:p w:rsidR="00000000" w:rsidRPr="00085E6F" w:rsidP="00085E6F">
      <w:pPr>
        <w:pStyle w:val="Heading1"/>
      </w:pPr>
      <w:bookmarkStart w:id="2" w:name="O_1234789"/>
      <w:bookmarkEnd w:id="2"/>
      <w:r w:rsidRPr="00085E6F">
        <w:t>Application</w:t>
      </w:r>
    </w:p>
    <w:p w:rsidR="00000000" w:rsidRPr="00085E6F" w:rsidP="00EC3A87">
      <w:pPr>
        <w:pStyle w:val="BodyText"/>
      </w:pPr>
      <w:r w:rsidRPr="00085E6F">
        <w:t>This unit describes the performance outcomes, skills and knowledge required to apply the principles of pain neuroscience in health care assessment and treatment.</w:t>
      </w:r>
    </w:p>
    <w:p w:rsidR="00000000" w:rsidRPr="00085E6F" w:rsidP="00EC3A87">
      <w:pPr>
        <w:pStyle w:val="BodyText"/>
      </w:pPr>
      <w:r w:rsidRPr="00085E6F">
        <w:t>This unit applies</w:t>
      </w:r>
      <w:r w:rsidRPr="00085E6F">
        <w:t xml:space="preserve"> to a broad range of health care practitioners.</w:t>
      </w:r>
    </w:p>
    <w:p w:rsidR="00000000" w:rsidRPr="00085E6F" w:rsidP="00EC3A87">
      <w:pPr>
        <w:pStyle w:val="BodyText"/>
      </w:pPr>
      <w:r w:rsidRPr="00085E6F">
        <w:t>The skills in this unit must be applied in accordance with Commonwealth and State or Territory legislation, Australian standards and industry codes of practice.</w:t>
      </w:r>
    </w:p>
    <w:p w:rsidR="00000000" w:rsidRPr="00085E6F" w:rsidP="00EC3A87">
      <w:pPr>
        <w:pStyle w:val="BodyText"/>
      </w:pPr>
      <w:r w:rsidRPr="00085E6F">
        <w:t>No occupational licensing, certification or spe</w:t>
      </w:r>
      <w:r w:rsidRPr="00085E6F">
        <w:t>cific legislative requirements apply to this unit at the time of publication.</w:t>
      </w:r>
    </w:p>
    <w:p w:rsidR="00000000" w:rsidRPr="00085E6F" w:rsidP="00085E6F">
      <w:pPr>
        <w:pStyle w:val="Heading1"/>
      </w:pPr>
      <w:bookmarkStart w:id="3" w:name="O_1234790"/>
      <w:bookmarkEnd w:id="3"/>
      <w:r w:rsidRPr="00085E6F">
        <w:t>Pre-requisite Unit</w:t>
      </w:r>
    </w:p>
    <w:p w:rsidR="00000000" w:rsidRPr="00085E6F" w:rsidP="00EC3A87">
      <w:pPr>
        <w:pStyle w:val="BodyText"/>
      </w:pPr>
      <w:r w:rsidRPr="00085E6F">
        <w:t>Nil</w:t>
      </w:r>
    </w:p>
    <w:p w:rsidR="00000000" w:rsidRPr="00085E6F" w:rsidP="00085E6F">
      <w:pPr>
        <w:pStyle w:val="Heading1"/>
      </w:pPr>
      <w:bookmarkStart w:id="4" w:name="O_1234791"/>
      <w:bookmarkEnd w:id="4"/>
      <w:r w:rsidRPr="00085E6F">
        <w:t>Competency Field</w:t>
      </w:r>
    </w:p>
    <w:p w:rsidR="00000000" w:rsidRPr="00085E6F" w:rsidP="00EC3A87">
      <w:pPr>
        <w:pStyle w:val="BodyText"/>
      </w:pPr>
      <w:r w:rsidRPr="00085E6F">
        <w:t>Massage Therapy</w:t>
      </w:r>
    </w:p>
    <w:p w:rsidR="00000000" w:rsidRPr="00085E6F" w:rsidP="00085E6F">
      <w:pPr>
        <w:pStyle w:val="Heading1"/>
      </w:pPr>
      <w:bookmarkStart w:id="5" w:name="O_1234792"/>
      <w:bookmarkEnd w:id="5"/>
      <w:r w:rsidRPr="00085E6F">
        <w:t>Unit Sector</w:t>
      </w:r>
    </w:p>
    <w:p w:rsidR="00000000" w:rsidRPr="00085E6F" w:rsidP="00EC3A87">
      <w:pPr>
        <w:pStyle w:val="BodyText"/>
      </w:pPr>
      <w:r w:rsidRPr="00085E6F">
        <w:t>Health</w:t>
      </w:r>
    </w:p>
    <w:p w:rsidR="00000000" w:rsidRPr="00085E6F" w:rsidP="00085E6F">
      <w:pPr>
        <w:pStyle w:val="Heading1"/>
      </w:pPr>
      <w:bookmarkStart w:id="6" w:name="O_1234793"/>
      <w:bookmarkEnd w:id="6"/>
      <w:r w:rsidRPr="00085E6F">
        <w:t>Elements and Performance Cr</w:t>
      </w:r>
      <w:r w:rsidRPr="00085E6F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8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E6F" w:rsidP="00085E6F">
            <w:pPr>
              <w:pStyle w:val="BodyText"/>
            </w:pPr>
            <w:r w:rsidRPr="00085E6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6F">
            <w:pPr>
              <w:pStyle w:val="BodyText"/>
              <w:rPr>
                <w:lang w:val="en-NZ"/>
              </w:rPr>
            </w:pPr>
            <w:r w:rsidRPr="00085E6F">
              <w:rPr>
                <w:rStyle w:val="SpecialBold"/>
              </w:rPr>
              <w:t>PERFORMANCE</w:t>
            </w:r>
            <w:r w:rsidRPr="00085E6F">
              <w:t xml:space="preserve"> </w:t>
            </w:r>
            <w:r w:rsidRPr="00085E6F">
              <w:rPr>
                <w:rStyle w:val="SpecialBold"/>
              </w:rPr>
              <w:t>CRITERIA</w:t>
            </w:r>
          </w:p>
        </w:tc>
      </w:tr>
      <w:tr w:rsidTr="0008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E6F" w:rsidP="00085E6F">
            <w:pPr>
              <w:pStyle w:val="BodyText"/>
            </w:pPr>
            <w:r w:rsidRPr="00085E6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6F">
            <w:pPr>
              <w:pStyle w:val="BodyText"/>
              <w:rPr>
                <w:lang w:val="en-NZ"/>
              </w:rPr>
            </w:pPr>
            <w:r w:rsidRPr="00085E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6F">
            <w:pPr>
              <w:pStyle w:val="List"/>
              <w:rPr>
                <w:lang w:val="en-NZ"/>
              </w:rPr>
            </w:pPr>
            <w:r w:rsidRPr="00085E6F">
              <w:t>1.  Maintain practical knowledge of the principles of pain neuroscience.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E6F" w:rsidP="00085E6F">
            <w:pPr>
              <w:pStyle w:val="List"/>
            </w:pPr>
            <w:r w:rsidRPr="00085E6F">
              <w:t>1.</w:t>
            </w:r>
            <w:r w:rsidRPr="00085E6F">
              <w:t>1. Research and monitor credible sources of information relevant to pain neuroscience.</w:t>
            </w:r>
          </w:p>
          <w:p w:rsidR="00000000" w:rsidRPr="00085E6F" w:rsidP="00085E6F">
            <w:pPr>
              <w:pStyle w:val="List"/>
            </w:pPr>
            <w:r w:rsidRPr="00085E6F">
              <w:t>1.2. Interpret credible sources of information to identify recent developments in pain neuroscience relevant to health care assessment and treatment.</w:t>
            </w:r>
          </w:p>
          <w:p w:rsidR="00000000" w:rsidP="00085E6F">
            <w:pPr>
              <w:pStyle w:val="List"/>
              <w:rPr>
                <w:lang w:val="en-NZ"/>
              </w:rPr>
            </w:pPr>
            <w:r w:rsidRPr="00085E6F">
              <w:t>1.3. Reflect on app</w:t>
            </w:r>
            <w:r w:rsidRPr="00085E6F">
              <w:t xml:space="preserve">lication of recent developments in pain neuroscience to own health care assessment and treatment </w:t>
            </w:r>
            <w:r w:rsidRPr="00085E6F">
              <w:t>practice.</w:t>
            </w:r>
          </w:p>
        </w:tc>
      </w:tr>
      <w:tr w:rsidTr="0008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6F">
            <w:pPr>
              <w:pStyle w:val="List"/>
              <w:rPr>
                <w:lang w:val="en-NZ"/>
              </w:rPr>
            </w:pPr>
            <w:r w:rsidRPr="00085E6F">
              <w:t>2.  Apply principles of pain neuroscience to health care assessment and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E6F" w:rsidP="00085E6F">
            <w:pPr>
              <w:pStyle w:val="List"/>
            </w:pPr>
            <w:r w:rsidRPr="00085E6F">
              <w:t>2.1. Consult with client and review client health records to gath</w:t>
            </w:r>
            <w:r w:rsidRPr="00085E6F">
              <w:t>er client pain presentation information.</w:t>
            </w:r>
          </w:p>
          <w:p w:rsidR="00000000" w:rsidRPr="00085E6F" w:rsidP="00085E6F">
            <w:pPr>
              <w:pStyle w:val="List"/>
            </w:pPr>
            <w:r w:rsidRPr="00085E6F">
              <w:t>2.2. Discuss biopsychosocial factors that may impact on pain presentation with the client.</w:t>
            </w:r>
          </w:p>
          <w:p w:rsidR="00000000" w:rsidRPr="00085E6F" w:rsidP="00085E6F">
            <w:pPr>
              <w:pStyle w:val="List"/>
            </w:pPr>
            <w:r w:rsidRPr="00085E6F">
              <w:t>2.3. Discuss health care treatment options and client expectations relevant to pain presentation with the client.</w:t>
            </w:r>
          </w:p>
          <w:p w:rsidR="00000000" w:rsidRPr="00085E6F" w:rsidP="00085E6F">
            <w:pPr>
              <w:pStyle w:val="List"/>
            </w:pPr>
            <w:r w:rsidRPr="00085E6F">
              <w:t>2.4. Document health care treatment plan to meet client needs including pain presentation.</w:t>
            </w:r>
          </w:p>
          <w:p w:rsidR="00000000" w:rsidP="00085E6F">
            <w:pPr>
              <w:pStyle w:val="List"/>
              <w:rPr>
                <w:lang w:val="en-NZ"/>
              </w:rPr>
            </w:pPr>
            <w:r w:rsidRPr="00085E6F">
              <w:t>2.5. Recognise pain presentation needs that are beyond scope of own practice and offer referrals where needed.</w:t>
            </w:r>
          </w:p>
        </w:tc>
      </w:tr>
      <w:tr w:rsidTr="0008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6F">
            <w:pPr>
              <w:pStyle w:val="List"/>
              <w:rPr>
                <w:lang w:val="en-NZ"/>
              </w:rPr>
            </w:pPr>
            <w:r w:rsidRPr="00085E6F">
              <w:t>3.  Reflect on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E6F" w:rsidP="00085E6F">
            <w:pPr>
              <w:pStyle w:val="List"/>
            </w:pPr>
            <w:r w:rsidRPr="00085E6F">
              <w:t>3.1. Use feedback from other</w:t>
            </w:r>
            <w:r w:rsidRPr="00085E6F">
              <w:t xml:space="preserve">s and self-reflection to determine improvements to own practice. </w:t>
            </w:r>
          </w:p>
          <w:p w:rsidR="00000000" w:rsidRPr="00085E6F" w:rsidP="00085E6F">
            <w:pPr>
              <w:pStyle w:val="List"/>
            </w:pPr>
            <w:r w:rsidRPr="00085E6F">
              <w:t>3.2. Identify areas of own practice for further research or development to support client outcomes.</w:t>
            </w:r>
          </w:p>
          <w:p w:rsidR="00000000" w:rsidRPr="00085E6F" w:rsidP="00085E6F">
            <w:pPr>
              <w:pStyle w:val="List"/>
            </w:pPr>
            <w:r w:rsidRPr="00085E6F">
              <w:t>3.3. Proactively seek and respond to professional development opportunities relevant to pa</w:t>
            </w:r>
            <w:r w:rsidRPr="00085E6F">
              <w:t>in neuroscience.</w:t>
            </w:r>
          </w:p>
          <w:p w:rsidR="00000000" w:rsidRPr="00085E6F" w:rsidP="00085E6F">
            <w:pPr>
              <w:pStyle w:val="List"/>
            </w:pPr>
            <w:r w:rsidRPr="00085E6F">
              <w:t>3.4. Identify current and emerging industry developments and networks that can support improvement of own practice.</w:t>
            </w:r>
          </w:p>
        </w:tc>
      </w:tr>
    </w:tbl>
    <w:p w:rsidR="00000000" w:rsidRPr="00085E6F" w:rsidP="00085E6F">
      <w:pPr>
        <w:pStyle w:val="BodyText"/>
      </w:pPr>
    </w:p>
    <w:p w:rsidR="00000000" w:rsidRPr="00085E6F" w:rsidP="00085E6F">
      <w:pPr>
        <w:pStyle w:val="AllowPageBreak"/>
      </w:pPr>
    </w:p>
    <w:p w:rsidR="00000000" w:rsidRPr="00085E6F" w:rsidP="00085E6F">
      <w:pPr>
        <w:pStyle w:val="Heading1"/>
      </w:pPr>
      <w:bookmarkStart w:id="7" w:name="O_1234794"/>
      <w:bookmarkEnd w:id="7"/>
      <w:r w:rsidRPr="00085E6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8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6F">
            <w:pPr>
              <w:pStyle w:val="BodyText"/>
              <w:rPr>
                <w:lang w:val="en-NZ"/>
              </w:rPr>
            </w:pPr>
            <w:r w:rsidRPr="00085E6F">
              <w:rPr>
                <w:rStyle w:val="Emphasis"/>
              </w:rPr>
              <w:t>Foundation skills essential to performance in this unit, but not explicit in the per</w:t>
            </w:r>
            <w:r w:rsidRPr="00085E6F">
              <w:rPr>
                <w:rStyle w:val="Emphasis"/>
              </w:rPr>
              <w:t>formance criteria are listed here, along with a brief context statement.</w:t>
            </w:r>
          </w:p>
        </w:tc>
      </w:tr>
      <w:tr w:rsidTr="0008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E6F" w:rsidP="00085E6F">
            <w:pPr>
              <w:pStyle w:val="BodyText"/>
            </w:pPr>
            <w:r w:rsidRPr="00085E6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6F">
            <w:pPr>
              <w:pStyle w:val="BodyText"/>
              <w:rPr>
                <w:lang w:val="en-NZ"/>
              </w:rPr>
            </w:pPr>
            <w:r w:rsidRPr="00085E6F">
              <w:rPr>
                <w:rStyle w:val="SpecialBold"/>
              </w:rPr>
              <w:t>DESCRIPTION</w:t>
            </w:r>
          </w:p>
        </w:tc>
      </w:tr>
      <w:tr w:rsidTr="0008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6F">
            <w:pPr>
              <w:pStyle w:val="BodyText"/>
              <w:rPr>
                <w:lang w:val="en-NZ"/>
              </w:rPr>
            </w:pPr>
            <w:r w:rsidRPr="00085E6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6F">
            <w:pPr>
              <w:pStyle w:val="ListBullet"/>
              <w:rPr>
                <w:lang w:val="en-NZ"/>
              </w:rPr>
            </w:pPr>
            <w:r w:rsidRPr="00085E6F">
              <w:t>comprehend and interpret client records.</w:t>
            </w:r>
          </w:p>
        </w:tc>
      </w:tr>
      <w:tr w:rsidTr="0008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6F">
            <w:pPr>
              <w:pStyle w:val="BodyText"/>
              <w:rPr>
                <w:lang w:val="en-NZ"/>
              </w:rPr>
            </w:pPr>
            <w:r w:rsidRPr="00085E6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6F">
            <w:pPr>
              <w:pStyle w:val="ListBullet"/>
              <w:rPr>
                <w:lang w:val="en-NZ"/>
              </w:rPr>
            </w:pPr>
            <w:r w:rsidRPr="00085E6F">
              <w:t>record client information accurately and comprehensively.</w:t>
            </w:r>
          </w:p>
        </w:tc>
      </w:tr>
      <w:tr w:rsidTr="0008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6F">
            <w:pPr>
              <w:pStyle w:val="BodyText"/>
              <w:rPr>
                <w:lang w:val="en-NZ"/>
              </w:rPr>
            </w:pPr>
            <w:r w:rsidRPr="00085E6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E6F" w:rsidP="00085E6F">
            <w:pPr>
              <w:pStyle w:val="ListBullet"/>
            </w:pPr>
            <w:r w:rsidRPr="00085E6F">
              <w:t>use listening and questioning to seek information and confirm understanding</w:t>
            </w:r>
          </w:p>
          <w:p w:rsidR="00000000" w:rsidP="00085E6F">
            <w:pPr>
              <w:pStyle w:val="ListBullet"/>
              <w:rPr>
                <w:lang w:val="en-NZ"/>
              </w:rPr>
            </w:pPr>
            <w:r w:rsidRPr="00085E6F">
              <w:t>deliver information to an audience in an appropriate manner to ensure comprehension.</w:t>
            </w:r>
          </w:p>
        </w:tc>
      </w:tr>
      <w:tr w:rsidTr="0008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6F">
            <w:pPr>
              <w:pStyle w:val="BodyText"/>
              <w:rPr>
                <w:lang w:val="en-NZ"/>
              </w:rPr>
            </w:pPr>
            <w:r w:rsidRPr="00085E6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E6F" w:rsidP="00085E6F">
            <w:pPr>
              <w:pStyle w:val="ListBullet"/>
            </w:pPr>
            <w:r w:rsidRPr="00085E6F">
              <w:t>access online sources of information.</w:t>
            </w:r>
          </w:p>
        </w:tc>
      </w:tr>
    </w:tbl>
    <w:p w:rsidR="00000000" w:rsidRPr="00085E6F" w:rsidP="00085E6F">
      <w:pPr>
        <w:pStyle w:val="BodyText"/>
      </w:pPr>
    </w:p>
    <w:p w:rsidR="00000000" w:rsidRPr="00085E6F" w:rsidP="00085E6F">
      <w:pPr>
        <w:pStyle w:val="AllowPageBreak"/>
      </w:pPr>
    </w:p>
    <w:p w:rsidR="00000000" w:rsidRPr="00085E6F" w:rsidP="00085E6F">
      <w:pPr>
        <w:pStyle w:val="Heading1"/>
      </w:pPr>
      <w:bookmarkStart w:id="8" w:name="O_1234796"/>
      <w:bookmarkEnd w:id="8"/>
      <w:r w:rsidRPr="00085E6F">
        <w:t>Unit Mapping Information</w:t>
      </w:r>
    </w:p>
    <w:p w:rsidR="00000000" w:rsidRPr="00085E6F" w:rsidP="00EC3A87">
      <w:pPr>
        <w:pStyle w:val="BodyText"/>
      </w:pPr>
      <w:r w:rsidRPr="00085E6F">
        <w:t>No equivalent unit.</w:t>
      </w:r>
    </w:p>
    <w:p w:rsidR="00000000" w:rsidRPr="00085E6F" w:rsidP="00085E6F">
      <w:pPr>
        <w:pStyle w:val="Heading1"/>
      </w:pPr>
      <w:bookmarkStart w:id="9" w:name="O_1234803"/>
      <w:bookmarkEnd w:id="9"/>
      <w:r w:rsidRPr="00085E6F">
        <w:t>Links</w:t>
      </w:r>
    </w:p>
    <w:p w:rsidR="00000000" w:rsidRPr="00085E6F" w:rsidP="00EC3A87">
      <w:pPr>
        <w:pStyle w:val="BodyText"/>
      </w:pPr>
      <w:r w:rsidRPr="00085E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A408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85E6F" w:rsidP="00EC3A87">
      <w:pPr>
        <w:pStyle w:val="BodyText"/>
        <w:sectPr w:rsidSect="00085E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5E6F" w:rsidP="00085E6F">
      <w:pPr>
        <w:pStyle w:val="SuperHeading"/>
      </w:pPr>
      <w:r w:rsidRPr="00085E6F">
        <w:t>Assessment Requirements for HLTMSG016 Apply principles of pain neuroscience</w:t>
      </w:r>
    </w:p>
    <w:p w:rsidR="00000000" w:rsidRPr="00085E6F" w:rsidP="00085E6F">
      <w:pPr>
        <w:pStyle w:val="Heading1"/>
      </w:pPr>
      <w:bookmarkStart w:id="10" w:name="O_1234798"/>
      <w:bookmarkEnd w:id="10"/>
      <w:r w:rsidRPr="00085E6F">
        <w:t>Modification History</w:t>
      </w:r>
    </w:p>
    <w:p w:rsidR="00000000" w:rsidRPr="00085E6F" w:rsidP="00EC3A87">
      <w:pPr>
        <w:pStyle w:val="BodyText"/>
      </w:pPr>
      <w:r w:rsidRPr="00085E6F">
        <w:t>Not applicable.</w:t>
      </w:r>
    </w:p>
    <w:p w:rsidR="00000000" w:rsidRPr="00085E6F" w:rsidP="00085E6F">
      <w:pPr>
        <w:pStyle w:val="Heading1"/>
      </w:pPr>
      <w:bookmarkStart w:id="11" w:name="O_1234799"/>
      <w:bookmarkEnd w:id="11"/>
      <w:r w:rsidRPr="00085E6F">
        <w:t>Performance Evidence</w:t>
      </w:r>
    </w:p>
    <w:p w:rsidR="00000000" w:rsidRPr="00085E6F" w:rsidP="00EC3A87">
      <w:pPr>
        <w:pStyle w:val="BodyText"/>
      </w:pPr>
      <w:r w:rsidRPr="00085E6F">
        <w:t>Evidence of the ability to complete tasks outlined in elements and performance criteria of this unit in the context of the job role, and:</w:t>
      </w:r>
    </w:p>
    <w:p w:rsidR="00000000" w:rsidRPr="00085E6F" w:rsidP="00085E6F">
      <w:pPr>
        <w:pStyle w:val="ListBullet"/>
      </w:pPr>
      <w:r w:rsidRPr="00085E6F">
        <w:t>apply the principles of pain neuroscience involving:</w:t>
      </w:r>
    </w:p>
    <w:p w:rsidR="00000000" w:rsidRPr="00085E6F" w:rsidP="00085E6F">
      <w:pPr>
        <w:pStyle w:val="ListBullet2"/>
      </w:pPr>
      <w:r w:rsidRPr="00085E6F">
        <w:t>conducting research of credible sources of information to updat</w:t>
      </w:r>
      <w:r w:rsidRPr="00085E6F">
        <w:t>e own knowledge of one recent neuroscience development</w:t>
      </w:r>
    </w:p>
    <w:p w:rsidR="00000000" w:rsidRPr="00085E6F" w:rsidP="00085E6F">
      <w:pPr>
        <w:pStyle w:val="ListBullet2"/>
      </w:pPr>
      <w:r w:rsidRPr="00085E6F">
        <w:t>consulting with three clients to develop a documented treatment plan to meet their needs including their pain presentation</w:t>
      </w:r>
    </w:p>
    <w:p w:rsidR="00000000" w:rsidRPr="00085E6F" w:rsidP="00085E6F">
      <w:pPr>
        <w:pStyle w:val="ListBullet2"/>
      </w:pPr>
      <w:r w:rsidRPr="00085E6F">
        <w:t>reflect on own practice after completing each of the three client consultations above.</w:t>
      </w:r>
    </w:p>
    <w:p w:rsidR="00000000" w:rsidRPr="00085E6F" w:rsidP="00085E6F">
      <w:pPr>
        <w:pStyle w:val="AllowPageBreak"/>
      </w:pPr>
    </w:p>
    <w:p w:rsidR="00000000" w:rsidRPr="00085E6F" w:rsidP="00085E6F">
      <w:pPr>
        <w:pStyle w:val="Heading1"/>
      </w:pPr>
      <w:bookmarkStart w:id="12" w:name="O_1234800"/>
      <w:bookmarkEnd w:id="12"/>
      <w:r w:rsidRPr="00085E6F">
        <w:t>Knowledge Evidence</w:t>
      </w:r>
    </w:p>
    <w:p w:rsidR="00000000" w:rsidRPr="00085E6F" w:rsidP="00EC3A87">
      <w:pPr>
        <w:pStyle w:val="BodyText"/>
      </w:pPr>
      <w:r w:rsidRPr="00085E6F">
        <w:t>Demonstrated knowledge required to complete the tasks outlined in elements and performance criteria of this unit:</w:t>
      </w:r>
    </w:p>
    <w:p w:rsidR="00000000" w:rsidRPr="00085E6F" w:rsidP="00085E6F">
      <w:pPr>
        <w:pStyle w:val="ListBullet"/>
      </w:pPr>
      <w:r w:rsidRPr="00085E6F">
        <w:t>anatomy and phys</w:t>
      </w:r>
      <w:r w:rsidRPr="00085E6F">
        <w:t>iology of the central and peripheral nervous system applicable to health care assessment and treatment:</w:t>
      </w:r>
    </w:p>
    <w:p w:rsidR="00000000" w:rsidRPr="00085E6F" w:rsidP="00085E6F">
      <w:pPr>
        <w:pStyle w:val="ListBullet2"/>
      </w:pPr>
      <w:r w:rsidRPr="00085E6F">
        <w:t>key structures:</w:t>
      </w:r>
    </w:p>
    <w:p w:rsidR="00000000" w:rsidRPr="00085E6F" w:rsidP="00085E6F">
      <w:pPr>
        <w:pStyle w:val="ListBullet3"/>
      </w:pPr>
      <w:r w:rsidRPr="00085E6F">
        <w:t>cerebrum</w:t>
      </w:r>
    </w:p>
    <w:p w:rsidR="00000000" w:rsidRPr="00085E6F" w:rsidP="00085E6F">
      <w:pPr>
        <w:pStyle w:val="ListBullet3"/>
      </w:pPr>
      <w:r w:rsidRPr="00085E6F">
        <w:t>cerebellum</w:t>
      </w:r>
    </w:p>
    <w:p w:rsidR="00000000" w:rsidRPr="00085E6F" w:rsidP="00085E6F">
      <w:pPr>
        <w:pStyle w:val="ListBullet3"/>
      </w:pPr>
      <w:r w:rsidRPr="00085E6F">
        <w:t>midbrain</w:t>
      </w:r>
    </w:p>
    <w:p w:rsidR="00000000" w:rsidRPr="00085E6F" w:rsidP="00085E6F">
      <w:pPr>
        <w:pStyle w:val="ListBullet3"/>
      </w:pPr>
      <w:r w:rsidRPr="00085E6F">
        <w:t>brainstem</w:t>
      </w:r>
    </w:p>
    <w:p w:rsidR="00000000" w:rsidRPr="00085E6F" w:rsidP="00085E6F">
      <w:pPr>
        <w:pStyle w:val="ListBullet3"/>
      </w:pPr>
      <w:r w:rsidRPr="00085E6F">
        <w:t>spinal cord</w:t>
      </w:r>
    </w:p>
    <w:p w:rsidR="00000000" w:rsidRPr="00085E6F" w:rsidP="00085E6F">
      <w:pPr>
        <w:pStyle w:val="ListBullet3"/>
      </w:pPr>
      <w:r w:rsidRPr="00085E6F">
        <w:t>spinal synapses and lamina</w:t>
      </w:r>
    </w:p>
    <w:p w:rsidR="00000000" w:rsidRPr="00085E6F" w:rsidP="00085E6F">
      <w:pPr>
        <w:pStyle w:val="ListBullet2"/>
      </w:pPr>
      <w:r w:rsidRPr="00085E6F">
        <w:t>key functions</w:t>
      </w:r>
    </w:p>
    <w:p w:rsidR="00000000" w:rsidRPr="00085E6F" w:rsidP="00085E6F">
      <w:pPr>
        <w:pStyle w:val="ListBullet2"/>
      </w:pPr>
      <w:r w:rsidRPr="00085E6F">
        <w:t>monitoring and feedback mechanisms</w:t>
      </w:r>
    </w:p>
    <w:p w:rsidR="00000000" w:rsidRPr="00085E6F" w:rsidP="00085E6F">
      <w:pPr>
        <w:pStyle w:val="ListBullet2"/>
      </w:pPr>
      <w:r w:rsidRPr="00085E6F">
        <w:t>how the anatomy and physiology of the central and peripheral nervous system relates to touch</w:t>
      </w:r>
    </w:p>
    <w:p w:rsidR="00000000" w:rsidRPr="00085E6F" w:rsidP="00085E6F">
      <w:pPr>
        <w:pStyle w:val="ListBullet"/>
      </w:pPr>
      <w:r w:rsidRPr="00085E6F">
        <w:t>phases of sensory processing as related to pain:</w:t>
      </w:r>
    </w:p>
    <w:p w:rsidR="00000000" w:rsidRPr="00085E6F" w:rsidP="00085E6F">
      <w:pPr>
        <w:pStyle w:val="ListBullet2"/>
      </w:pPr>
      <w:r w:rsidRPr="00085E6F">
        <w:t>transduction</w:t>
      </w:r>
    </w:p>
    <w:p w:rsidR="00000000" w:rsidRPr="00085E6F" w:rsidP="00085E6F">
      <w:pPr>
        <w:pStyle w:val="ListBullet2"/>
      </w:pPr>
      <w:r w:rsidRPr="00085E6F">
        <w:t>transmission</w:t>
      </w:r>
    </w:p>
    <w:p w:rsidR="00000000" w:rsidRPr="00085E6F" w:rsidP="00085E6F">
      <w:pPr>
        <w:pStyle w:val="ListBullet2"/>
      </w:pPr>
      <w:r w:rsidRPr="00085E6F">
        <w:t>modulation</w:t>
      </w:r>
    </w:p>
    <w:p w:rsidR="00000000" w:rsidRPr="00085E6F" w:rsidP="00085E6F">
      <w:pPr>
        <w:pStyle w:val="ListBullet2"/>
      </w:pPr>
      <w:r w:rsidRPr="00085E6F">
        <w:t>perception</w:t>
      </w:r>
    </w:p>
    <w:p w:rsidR="00000000" w:rsidRPr="00085E6F" w:rsidP="00085E6F">
      <w:pPr>
        <w:pStyle w:val="ListBullet"/>
      </w:pPr>
      <w:r w:rsidRPr="00085E6F">
        <w:t>how people experience pain</w:t>
      </w:r>
    </w:p>
    <w:p w:rsidR="00000000" w:rsidRPr="00085E6F" w:rsidP="00085E6F">
      <w:pPr>
        <w:pStyle w:val="ListBullet"/>
      </w:pPr>
      <w:r w:rsidRPr="00085E6F">
        <w:t>how chronic pain is developed</w:t>
      </w:r>
    </w:p>
    <w:p w:rsidR="00000000" w:rsidRPr="00085E6F" w:rsidP="00085E6F">
      <w:pPr>
        <w:pStyle w:val="ListBullet"/>
      </w:pPr>
      <w:r w:rsidRPr="00085E6F">
        <w:t>how acute pain is developed</w:t>
      </w:r>
    </w:p>
    <w:p w:rsidR="00000000" w:rsidRPr="00085E6F" w:rsidP="00085E6F">
      <w:pPr>
        <w:pStyle w:val="ListBullet"/>
      </w:pPr>
      <w:r w:rsidRPr="00085E6F">
        <w:t>biopsychosocial approach to pain:</w:t>
      </w:r>
    </w:p>
    <w:p w:rsidR="00000000" w:rsidRPr="00085E6F" w:rsidP="00085E6F">
      <w:pPr>
        <w:pStyle w:val="ListBullet2"/>
      </w:pPr>
      <w:r w:rsidRPr="00085E6F">
        <w:t>biological:</w:t>
      </w:r>
    </w:p>
    <w:p w:rsidR="00000000" w:rsidRPr="00085E6F" w:rsidP="00085E6F">
      <w:pPr>
        <w:pStyle w:val="ListBullet3"/>
      </w:pPr>
      <w:r w:rsidRPr="00085E6F">
        <w:t>gender</w:t>
      </w:r>
    </w:p>
    <w:p w:rsidR="00000000" w:rsidRPr="00085E6F" w:rsidP="00085E6F">
      <w:pPr>
        <w:pStyle w:val="ListBullet3"/>
      </w:pPr>
      <w:r w:rsidRPr="00085E6F">
        <w:t>physical health</w:t>
      </w:r>
    </w:p>
    <w:p w:rsidR="00000000" w:rsidRPr="00085E6F" w:rsidP="00085E6F">
      <w:pPr>
        <w:pStyle w:val="ListBullet3"/>
      </w:pPr>
      <w:r w:rsidRPr="00085E6F">
        <w:t>genetic predisposition</w:t>
      </w:r>
    </w:p>
    <w:p w:rsidR="00000000" w:rsidRPr="00085E6F" w:rsidP="00085E6F">
      <w:pPr>
        <w:pStyle w:val="ListBullet3"/>
      </w:pPr>
      <w:r w:rsidRPr="00085E6F">
        <w:t>immune function</w:t>
      </w:r>
    </w:p>
    <w:p w:rsidR="00000000" w:rsidRPr="00085E6F" w:rsidP="00085E6F">
      <w:pPr>
        <w:pStyle w:val="ListBullet3"/>
      </w:pPr>
      <w:r w:rsidRPr="00085E6F">
        <w:t>effects of medication</w:t>
      </w:r>
    </w:p>
    <w:p w:rsidR="00000000" w:rsidRPr="00085E6F" w:rsidP="00085E6F">
      <w:pPr>
        <w:pStyle w:val="ListBullet2"/>
      </w:pPr>
      <w:r w:rsidRPr="00085E6F">
        <w:t>psychological:</w:t>
      </w:r>
    </w:p>
    <w:p w:rsidR="00000000" w:rsidRPr="00085E6F" w:rsidP="00085E6F">
      <w:pPr>
        <w:pStyle w:val="ListBullet3"/>
      </w:pPr>
      <w:r w:rsidRPr="00085E6F">
        <w:t>behaviours</w:t>
      </w:r>
    </w:p>
    <w:p w:rsidR="00000000" w:rsidRPr="00085E6F" w:rsidP="00085E6F">
      <w:pPr>
        <w:pStyle w:val="ListBullet3"/>
      </w:pPr>
      <w:r w:rsidRPr="00085E6F">
        <w:t>emotions</w:t>
      </w:r>
    </w:p>
    <w:p w:rsidR="00000000" w:rsidRPr="00085E6F" w:rsidP="00085E6F">
      <w:pPr>
        <w:pStyle w:val="ListBullet3"/>
      </w:pPr>
      <w:r w:rsidRPr="00085E6F">
        <w:t>attitudes and beliefs</w:t>
      </w:r>
    </w:p>
    <w:p w:rsidR="00000000" w:rsidRPr="00085E6F" w:rsidP="00085E6F">
      <w:pPr>
        <w:pStyle w:val="ListBullet3"/>
      </w:pPr>
      <w:r w:rsidRPr="00085E6F">
        <w:t>level of stress and ability to cope</w:t>
      </w:r>
    </w:p>
    <w:p w:rsidR="00000000" w:rsidRPr="00085E6F" w:rsidP="00085E6F">
      <w:pPr>
        <w:pStyle w:val="ListBullet3"/>
      </w:pPr>
      <w:r w:rsidRPr="00085E6F">
        <w:t>mental health</w:t>
      </w:r>
    </w:p>
    <w:p w:rsidR="00000000" w:rsidRPr="00085E6F" w:rsidP="00085E6F">
      <w:pPr>
        <w:pStyle w:val="ListBullet2"/>
      </w:pPr>
      <w:r w:rsidRPr="00085E6F">
        <w:t>social:</w:t>
      </w:r>
    </w:p>
    <w:p w:rsidR="00000000" w:rsidRPr="00085E6F" w:rsidP="00085E6F">
      <w:pPr>
        <w:pStyle w:val="ListBullet3"/>
      </w:pPr>
      <w:r w:rsidRPr="00085E6F">
        <w:t>family relationships</w:t>
      </w:r>
    </w:p>
    <w:p w:rsidR="00000000" w:rsidRPr="00085E6F" w:rsidP="00085E6F">
      <w:pPr>
        <w:pStyle w:val="ListBullet3"/>
      </w:pPr>
      <w:r w:rsidRPr="00085E6F">
        <w:t>socio-economic factors</w:t>
      </w:r>
    </w:p>
    <w:p w:rsidR="00000000" w:rsidRPr="00085E6F" w:rsidP="00085E6F">
      <w:pPr>
        <w:pStyle w:val="ListBullet3"/>
      </w:pPr>
      <w:r w:rsidRPr="00085E6F">
        <w:t>cultural factors</w:t>
      </w:r>
    </w:p>
    <w:p w:rsidR="00000000" w:rsidRPr="00085E6F" w:rsidP="00085E6F">
      <w:pPr>
        <w:pStyle w:val="ListBullet"/>
      </w:pPr>
      <w:r w:rsidRPr="00085E6F">
        <w:t>basic neurological assessment:</w:t>
      </w:r>
    </w:p>
    <w:p w:rsidR="00000000" w:rsidRPr="00085E6F" w:rsidP="00085E6F">
      <w:pPr>
        <w:pStyle w:val="ListBullet2"/>
      </w:pPr>
      <w:r w:rsidRPr="00085E6F">
        <w:t>dermatome</w:t>
      </w:r>
    </w:p>
    <w:p w:rsidR="00000000" w:rsidRPr="00085E6F" w:rsidP="00085E6F">
      <w:pPr>
        <w:pStyle w:val="ListBullet2"/>
      </w:pPr>
      <w:r w:rsidRPr="00085E6F">
        <w:t>myotome</w:t>
      </w:r>
    </w:p>
    <w:p w:rsidR="00000000" w:rsidRPr="00085E6F" w:rsidP="00085E6F">
      <w:pPr>
        <w:pStyle w:val="ListBullet2"/>
      </w:pPr>
      <w:r w:rsidRPr="00085E6F">
        <w:t>reflexes</w:t>
      </w:r>
    </w:p>
    <w:p w:rsidR="00000000" w:rsidRPr="00085E6F" w:rsidP="00085E6F">
      <w:pPr>
        <w:pStyle w:val="ListBullet"/>
      </w:pPr>
      <w:r w:rsidRPr="00085E6F">
        <w:t>how a biopsychosocial understanding of pain can be applied to clinical practice</w:t>
      </w:r>
    </w:p>
    <w:p w:rsidR="00000000" w:rsidRPr="00085E6F" w:rsidP="00085E6F">
      <w:pPr>
        <w:pStyle w:val="ListBullet"/>
      </w:pPr>
      <w:r w:rsidRPr="00085E6F">
        <w:t>modulation of pain:</w:t>
      </w:r>
    </w:p>
    <w:p w:rsidR="00000000" w:rsidRPr="00085E6F" w:rsidP="00085E6F">
      <w:pPr>
        <w:pStyle w:val="ListBullet2"/>
      </w:pPr>
      <w:r w:rsidRPr="00085E6F">
        <w:t>placebo and nocebo and their effect on pain</w:t>
      </w:r>
    </w:p>
    <w:p w:rsidR="00000000" w:rsidRPr="00085E6F" w:rsidP="00085E6F">
      <w:pPr>
        <w:pStyle w:val="ListBullet"/>
      </w:pPr>
      <w:r w:rsidRPr="00085E6F">
        <w:t>role of descending inhibition in relief of pain</w:t>
      </w:r>
    </w:p>
    <w:p w:rsidR="00000000" w:rsidRPr="00085E6F" w:rsidP="00085E6F">
      <w:pPr>
        <w:pStyle w:val="ListBullet"/>
      </w:pPr>
      <w:r w:rsidRPr="00085E6F">
        <w:t>signs and symptoms of sensitisation:</w:t>
      </w:r>
    </w:p>
    <w:p w:rsidR="00000000" w:rsidRPr="00085E6F" w:rsidP="00085E6F">
      <w:pPr>
        <w:pStyle w:val="ListBullet2"/>
      </w:pPr>
      <w:r w:rsidRPr="00085E6F">
        <w:t>peripheral</w:t>
      </w:r>
    </w:p>
    <w:p w:rsidR="00000000" w:rsidRPr="00085E6F" w:rsidP="00085E6F">
      <w:pPr>
        <w:pStyle w:val="ListBullet2"/>
      </w:pPr>
      <w:r w:rsidRPr="00085E6F">
        <w:t>central</w:t>
      </w:r>
    </w:p>
    <w:p w:rsidR="00000000" w:rsidRPr="00085E6F" w:rsidP="00085E6F">
      <w:pPr>
        <w:pStyle w:val="ListBullet2"/>
      </w:pPr>
      <w:r w:rsidRPr="00085E6F">
        <w:t>effect on chronic pain</w:t>
      </w:r>
    </w:p>
    <w:p w:rsidR="00000000" w:rsidRPr="00085E6F" w:rsidP="00085E6F">
      <w:pPr>
        <w:pStyle w:val="ListBullet"/>
      </w:pPr>
      <w:r w:rsidRPr="00085E6F">
        <w:t>types of pain:</w:t>
      </w:r>
    </w:p>
    <w:p w:rsidR="00000000" w:rsidRPr="00085E6F" w:rsidP="00085E6F">
      <w:pPr>
        <w:pStyle w:val="ListBullet2"/>
      </w:pPr>
      <w:r w:rsidRPr="00085E6F">
        <w:t>nociceptive</w:t>
      </w:r>
    </w:p>
    <w:p w:rsidR="00000000" w:rsidRPr="00085E6F" w:rsidP="00085E6F">
      <w:pPr>
        <w:pStyle w:val="ListBullet2"/>
      </w:pPr>
      <w:r w:rsidRPr="00085E6F">
        <w:t>neuropathic</w:t>
      </w:r>
    </w:p>
    <w:p w:rsidR="00000000" w:rsidRPr="00085E6F" w:rsidP="00085E6F">
      <w:pPr>
        <w:pStyle w:val="ListBullet2"/>
      </w:pPr>
      <w:r w:rsidRPr="00085E6F">
        <w:t>nociplastic</w:t>
      </w:r>
    </w:p>
    <w:p w:rsidR="00000000" w:rsidRPr="00085E6F" w:rsidP="00085E6F">
      <w:pPr>
        <w:pStyle w:val="ListBullet"/>
      </w:pPr>
      <w:r w:rsidRPr="00085E6F">
        <w:t>principles of a client-centre</w:t>
      </w:r>
      <w:r w:rsidRPr="00085E6F">
        <w:t>d approach:</w:t>
      </w:r>
    </w:p>
    <w:p w:rsidR="00000000" w:rsidRPr="00085E6F" w:rsidP="00085E6F">
      <w:pPr>
        <w:pStyle w:val="ListBullet2"/>
      </w:pPr>
      <w:r w:rsidRPr="00085E6F">
        <w:t>empathy</w:t>
      </w:r>
    </w:p>
    <w:p w:rsidR="00000000" w:rsidRPr="00085E6F" w:rsidP="00085E6F">
      <w:pPr>
        <w:pStyle w:val="ListBullet2"/>
      </w:pPr>
      <w:r w:rsidRPr="00085E6F">
        <w:t>non-judgemental attitude</w:t>
      </w:r>
    </w:p>
    <w:p w:rsidR="00000000" w:rsidRPr="00085E6F" w:rsidP="00085E6F">
      <w:pPr>
        <w:pStyle w:val="ListBullet"/>
      </w:pPr>
      <w:r w:rsidRPr="00085E6F">
        <w:t>referral options for therapists:</w:t>
      </w:r>
    </w:p>
    <w:p w:rsidR="00000000" w:rsidRPr="00085E6F" w:rsidP="00085E6F">
      <w:pPr>
        <w:pStyle w:val="ListBullet2"/>
      </w:pPr>
      <w:r w:rsidRPr="00085E6F">
        <w:t xml:space="preserve">allied health service and other health modalities </w:t>
      </w:r>
    </w:p>
    <w:p w:rsidR="00000000" w:rsidRPr="00085E6F" w:rsidP="00085E6F">
      <w:pPr>
        <w:pStyle w:val="ListBullet2"/>
      </w:pPr>
      <w:r w:rsidRPr="00085E6F">
        <w:t>medical practitioner</w:t>
      </w:r>
    </w:p>
    <w:p w:rsidR="00000000" w:rsidRPr="00085E6F" w:rsidP="00085E6F">
      <w:pPr>
        <w:pStyle w:val="ListBullet2"/>
      </w:pPr>
      <w:r w:rsidRPr="00085E6F">
        <w:t>support service</w:t>
      </w:r>
    </w:p>
    <w:p w:rsidR="00000000" w:rsidRPr="00085E6F" w:rsidP="00085E6F">
      <w:pPr>
        <w:pStyle w:val="ListBullet2"/>
      </w:pPr>
      <w:r w:rsidRPr="00085E6F">
        <w:t>types, limitations and availability of further medical testing</w:t>
      </w:r>
    </w:p>
    <w:p w:rsidR="00000000" w:rsidRPr="00085E6F" w:rsidP="00085E6F">
      <w:pPr>
        <w:pStyle w:val="ListBullet"/>
      </w:pPr>
      <w:r w:rsidRPr="00085E6F">
        <w:t>criteria for determining credible sources of information</w:t>
      </w:r>
    </w:p>
    <w:p w:rsidR="00000000" w:rsidRPr="00085E6F" w:rsidP="00085E6F">
      <w:pPr>
        <w:pStyle w:val="ListBullet"/>
      </w:pPr>
      <w:r w:rsidRPr="00085E6F">
        <w:t>documentation requirements for recording treatment details using industry standard abbreviations</w:t>
      </w:r>
    </w:p>
    <w:p w:rsidR="00000000" w:rsidRPr="00085E6F" w:rsidP="00085E6F">
      <w:pPr>
        <w:pStyle w:val="ListBullet"/>
      </w:pPr>
      <w:r w:rsidRPr="00085E6F">
        <w:t>techniques for self-reflection.</w:t>
      </w:r>
    </w:p>
    <w:p w:rsidR="00000000" w:rsidRPr="00085E6F" w:rsidP="00085E6F">
      <w:pPr>
        <w:pStyle w:val="AllowPageBreak"/>
      </w:pPr>
    </w:p>
    <w:p w:rsidR="00000000" w:rsidRPr="00085E6F" w:rsidP="00085E6F">
      <w:pPr>
        <w:pStyle w:val="Heading1"/>
      </w:pPr>
      <w:bookmarkStart w:id="13" w:name="O_1234801"/>
      <w:bookmarkEnd w:id="13"/>
      <w:r w:rsidRPr="00085E6F">
        <w:t>Assessment Conditions</w:t>
      </w:r>
    </w:p>
    <w:p w:rsidR="00000000" w:rsidRPr="00085E6F" w:rsidP="00EC3A87">
      <w:pPr>
        <w:pStyle w:val="BodyText"/>
      </w:pPr>
      <w:r w:rsidRPr="00085E6F">
        <w:t>Skills must be demonstrated i</w:t>
      </w:r>
      <w:r w:rsidRPr="00085E6F">
        <w:t>n a simulated clinical environment that reflects workplace conditions set up for the purpose of skills assessment.</w:t>
      </w:r>
    </w:p>
    <w:p w:rsidR="00000000" w:rsidRPr="00085E6F" w:rsidP="00EC3A87">
      <w:pPr>
        <w:pStyle w:val="BodyText"/>
      </w:pPr>
      <w:r w:rsidRPr="00085E6F">
        <w:t>Assessment must ensure access to:</w:t>
      </w:r>
    </w:p>
    <w:p w:rsidR="00000000" w:rsidRPr="00085E6F" w:rsidP="00085E6F">
      <w:pPr>
        <w:pStyle w:val="ListBullet"/>
      </w:pPr>
      <w:r w:rsidRPr="00085E6F">
        <w:t>client information including health records</w:t>
      </w:r>
    </w:p>
    <w:p w:rsidR="00000000" w:rsidRPr="00085E6F" w:rsidP="00085E6F">
      <w:pPr>
        <w:pStyle w:val="ListBullet"/>
      </w:pPr>
      <w:r w:rsidRPr="00085E6F">
        <w:t>treatment plan template</w:t>
      </w:r>
    </w:p>
    <w:p w:rsidR="00000000" w:rsidRPr="00085E6F" w:rsidP="00085E6F">
      <w:pPr>
        <w:pStyle w:val="ListBullet"/>
      </w:pPr>
      <w:r w:rsidRPr="00085E6F">
        <w:t>private consultation area.</w:t>
      </w:r>
    </w:p>
    <w:p w:rsidR="00000000" w:rsidRPr="00085E6F" w:rsidP="00EC3A87">
      <w:pPr>
        <w:pStyle w:val="BodyText"/>
      </w:pPr>
      <w:r w:rsidRPr="00085E6F">
        <w:t>Assessors must satisfy the Standards for Registered Training Organisations’ requirements for assessor, and</w:t>
      </w:r>
    </w:p>
    <w:p w:rsidR="00000000" w:rsidRPr="00085E6F" w:rsidP="00085E6F">
      <w:pPr>
        <w:pStyle w:val="ListBullet"/>
      </w:pPr>
      <w:r w:rsidRPr="00085E6F">
        <w:t>have current clinical experience working as a health care practitioner providing services to the general public.</w:t>
      </w:r>
    </w:p>
    <w:p w:rsidR="00000000" w:rsidRPr="00085E6F" w:rsidP="00085E6F">
      <w:pPr>
        <w:pStyle w:val="AllowPageBreak"/>
      </w:pPr>
    </w:p>
    <w:p w:rsidR="00000000" w:rsidRPr="00085E6F" w:rsidP="00085E6F">
      <w:pPr>
        <w:pStyle w:val="Heading1"/>
      </w:pPr>
      <w:bookmarkStart w:id="14" w:name="O_1234804"/>
      <w:bookmarkEnd w:id="14"/>
      <w:r w:rsidRPr="00085E6F">
        <w:t>Links</w:t>
      </w:r>
    </w:p>
    <w:p w:rsidR="00000000" w:rsidRPr="00085E6F" w:rsidP="00EC3A87">
      <w:pPr>
        <w:pStyle w:val="BodyText"/>
      </w:pPr>
      <w:r w:rsidRPr="00085E6F">
        <w:t xml:space="preserve">Companion </w:t>
      </w:r>
      <w:r w:rsidRPr="00085E6F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A408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85E6F" w:rsidP="00085E6F"/>
    <w:sectPr w:rsidSect="00085E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E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E6F" w:rsidRPr="00EC3A87" w:rsidP="00EC3A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E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A87" w:rsidP="00085E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C3A87" w:rsidP="00085E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C3A87" w:rsidP="00085E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E6F" w:rsidP="00085E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3A87">
      <w:t>Approved</w:t>
    </w:r>
    <w:r w:rsidR="00EC3A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3A8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3A87">
      <w:rPr>
        <w:noProof/>
      </w:rPr>
      <w:t>5</w:t>
    </w:r>
    <w:r>
      <w:rPr>
        <w:noProof/>
      </w:rPr>
      <w:fldChar w:fldCharType="end"/>
    </w:r>
  </w:p>
  <w:p w:rsidR="00085E6F" w:rsidP="00085E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3A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3A87">
      <w:t>HumanAbility</w:t>
    </w:r>
    <w:r w:rsidR="00EC3A87">
      <w:fldChar w:fldCharType="end"/>
    </w:r>
  </w:p>
  <w:p w:rsidR="00085E6F" w:rsidP="00085E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E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A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E6F" w:rsidRPr="00EC3A87" w:rsidP="00EC3A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E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A87" w:rsidRPr="002D2AF8" w:rsidP="00085E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HLTMSG016 Apply principles of pain neuroscience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C3A87" w:rsidP="00085E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E6F" w:rsidRPr="002D2AF8" w:rsidP="00085E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3A87">
      <w:t>HLTMSG016 Apply principles of pain neuroscience</w:t>
    </w:r>
    <w:r w:rsidR="00EC3A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3A87">
      <w:rPr>
        <w:noProof/>
      </w:rPr>
      <w:t>1 March 2025</w:t>
    </w:r>
    <w:r>
      <w:fldChar w:fldCharType="end"/>
    </w:r>
  </w:p>
  <w:p w:rsidR="00085E6F" w:rsidP="00085E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DA89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A24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DA41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E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E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E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E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E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E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E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E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E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E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E6F"/>
  </w:style>
  <w:style w:type="character" w:customStyle="1" w:styleId="Heading1Char">
    <w:name w:val="Heading 1 Char"/>
    <w:basedOn w:val="DefaultParagraphFont"/>
    <w:link w:val="Heading1"/>
    <w:rsid w:val="00085E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E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E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5E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5E6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5E6F"/>
    <w:rPr>
      <w:b/>
      <w:spacing w:val="0"/>
    </w:rPr>
  </w:style>
  <w:style w:type="paragraph" w:styleId="ListBullet2">
    <w:name w:val="List Bullet 2"/>
    <w:basedOn w:val="List2"/>
    <w:rsid w:val="00085E6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5E6F"/>
    <w:rPr>
      <w:i/>
    </w:rPr>
  </w:style>
  <w:style w:type="paragraph" w:customStyle="1" w:styleId="SuperHeading">
    <w:name w:val="SuperHeading"/>
    <w:basedOn w:val="Normal"/>
    <w:rsid w:val="00085E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E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5E6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5E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E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E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E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E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E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E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E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E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E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E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E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E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E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E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E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E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E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5E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5E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E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E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5E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E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E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E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E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E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E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E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E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5E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E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E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E6F"/>
  </w:style>
  <w:style w:type="paragraph" w:styleId="TableofFigures">
    <w:name w:val="table of figures"/>
    <w:basedOn w:val="Normal"/>
    <w:next w:val="Normal"/>
    <w:semiHidden/>
    <w:rsid w:val="00085E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E6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5E6F"/>
    <w:rPr>
      <w:rFonts w:ascii="Wingdings" w:hAnsi="Wingdings"/>
    </w:rPr>
  </w:style>
  <w:style w:type="paragraph" w:customStyle="1" w:styleId="TableHeading">
    <w:name w:val="Table Heading"/>
    <w:basedOn w:val="HeadingBase"/>
    <w:rsid w:val="00085E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E6F"/>
    <w:rPr>
      <w:color w:val="0033CC"/>
      <w:u w:val="none"/>
    </w:rPr>
  </w:style>
  <w:style w:type="paragraph" w:customStyle="1" w:styleId="BodyTextRight">
    <w:name w:val="Body Text Right"/>
    <w:basedOn w:val="BodyText"/>
    <w:rsid w:val="00085E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E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E6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E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E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E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E6F"/>
    <w:rPr>
      <w:sz w:val="32"/>
    </w:rPr>
  </w:style>
  <w:style w:type="paragraph" w:customStyle="1" w:styleId="HeadingProcedure">
    <w:name w:val="Heading Procedure"/>
    <w:basedOn w:val="HeadingBase"/>
    <w:next w:val="Normal"/>
    <w:rsid w:val="00085E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E6F"/>
    <w:pPr>
      <w:spacing w:before="60" w:after="60"/>
    </w:pPr>
  </w:style>
  <w:style w:type="paragraph" w:styleId="ListContinue">
    <w:name w:val="List Continue"/>
    <w:basedOn w:val="List"/>
    <w:rsid w:val="00085E6F"/>
    <w:pPr>
      <w:ind w:firstLine="0"/>
    </w:pPr>
  </w:style>
  <w:style w:type="paragraph" w:customStyle="1" w:styleId="ListNote">
    <w:name w:val="List Note"/>
    <w:basedOn w:val="List"/>
    <w:rsid w:val="00085E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E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E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E6F"/>
    <w:rPr>
      <w:rFonts w:ascii="Courier New" w:hAnsi="Courier New"/>
    </w:rPr>
  </w:style>
  <w:style w:type="paragraph" w:customStyle="1" w:styleId="NoteBullet">
    <w:name w:val="Note Bullet"/>
    <w:basedOn w:val="Note"/>
    <w:rsid w:val="00085E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E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E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E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E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5E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E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E6F"/>
    <w:rPr>
      <w:b/>
      <w:smallCaps/>
    </w:rPr>
  </w:style>
  <w:style w:type="paragraph" w:customStyle="1" w:styleId="TableListNumber">
    <w:name w:val="Table List Number"/>
    <w:basedOn w:val="ListNumber"/>
    <w:rsid w:val="00085E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E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E6F"/>
    <w:pPr>
      <w:numPr>
        <w:numId w:val="10"/>
      </w:numPr>
    </w:pPr>
  </w:style>
  <w:style w:type="paragraph" w:customStyle="1" w:styleId="ListAlpha2">
    <w:name w:val="List Alpha 2"/>
    <w:basedOn w:val="List2"/>
    <w:rsid w:val="00085E6F"/>
    <w:pPr>
      <w:numPr>
        <w:numId w:val="9"/>
      </w:numPr>
    </w:pPr>
  </w:style>
  <w:style w:type="paragraph" w:styleId="List2">
    <w:name w:val="List 2"/>
    <w:basedOn w:val="BodyText"/>
    <w:rsid w:val="00085E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E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E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E6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5E6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5E6F"/>
    <w:pPr>
      <w:numPr>
        <w:numId w:val="5"/>
      </w:numPr>
    </w:pPr>
  </w:style>
  <w:style w:type="paragraph" w:styleId="ListContinue2">
    <w:name w:val="List Continue 2"/>
    <w:basedOn w:val="List2"/>
    <w:rsid w:val="00085E6F"/>
    <w:pPr>
      <w:ind w:firstLine="0"/>
    </w:pPr>
  </w:style>
  <w:style w:type="paragraph" w:styleId="ListContinue3">
    <w:name w:val="List Continue 3"/>
    <w:basedOn w:val="List3"/>
    <w:rsid w:val="00085E6F"/>
    <w:pPr>
      <w:ind w:left="1021" w:firstLine="0"/>
    </w:pPr>
  </w:style>
  <w:style w:type="paragraph" w:styleId="ListContinue4">
    <w:name w:val="List Continue 4"/>
    <w:basedOn w:val="List4"/>
    <w:rsid w:val="00085E6F"/>
    <w:pPr>
      <w:ind w:firstLine="0"/>
    </w:pPr>
  </w:style>
  <w:style w:type="paragraph" w:styleId="ListContinue5">
    <w:name w:val="List Continue 5"/>
    <w:basedOn w:val="List5"/>
    <w:rsid w:val="00085E6F"/>
    <w:pPr>
      <w:ind w:firstLine="0"/>
    </w:pPr>
  </w:style>
  <w:style w:type="paragraph" w:styleId="ListNumber3">
    <w:name w:val="List Number 3"/>
    <w:basedOn w:val="List3"/>
    <w:rsid w:val="00085E6F"/>
    <w:pPr>
      <w:numPr>
        <w:numId w:val="6"/>
      </w:numPr>
    </w:pPr>
  </w:style>
  <w:style w:type="paragraph" w:styleId="ListNumber4">
    <w:name w:val="List Number 4"/>
    <w:basedOn w:val="List4"/>
    <w:rsid w:val="00085E6F"/>
    <w:pPr>
      <w:numPr>
        <w:numId w:val="7"/>
      </w:numPr>
    </w:pPr>
  </w:style>
  <w:style w:type="paragraph" w:styleId="ListNumber5">
    <w:name w:val="List Number 5"/>
    <w:basedOn w:val="List5"/>
    <w:rsid w:val="00085E6F"/>
    <w:pPr>
      <w:numPr>
        <w:numId w:val="8"/>
      </w:numPr>
    </w:pPr>
  </w:style>
  <w:style w:type="paragraph" w:styleId="BlockText">
    <w:name w:val="Block Text"/>
    <w:basedOn w:val="Normal"/>
    <w:rsid w:val="00085E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E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E6F"/>
    <w:rPr>
      <w:sz w:val="16"/>
      <w:vertAlign w:val="superscript"/>
    </w:rPr>
  </w:style>
  <w:style w:type="character" w:customStyle="1" w:styleId="Symbols">
    <w:name w:val="Symbols"/>
    <w:basedOn w:val="DefaultParagraphFont"/>
    <w:rsid w:val="00085E6F"/>
    <w:rPr>
      <w:rFonts w:ascii="Symbol" w:hAnsi="Symbol"/>
    </w:rPr>
  </w:style>
  <w:style w:type="character" w:customStyle="1" w:styleId="MenuOptions">
    <w:name w:val="Menu Options"/>
    <w:basedOn w:val="DefaultParagraphFont"/>
    <w:rsid w:val="00085E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E6F"/>
    <w:rPr>
      <w:b/>
    </w:rPr>
  </w:style>
  <w:style w:type="character" w:customStyle="1" w:styleId="Underlined">
    <w:name w:val="Underlined"/>
    <w:basedOn w:val="DefaultParagraphFont"/>
    <w:rsid w:val="00085E6F"/>
    <w:rPr>
      <w:u w:val="single"/>
    </w:rPr>
  </w:style>
  <w:style w:type="paragraph" w:customStyle="1" w:styleId="TableBodyTextRight">
    <w:name w:val="Table Body Text Right"/>
    <w:basedOn w:val="TableBodyText"/>
    <w:rsid w:val="00085E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E6F"/>
    <w:rPr>
      <w:sz w:val="18"/>
    </w:rPr>
  </w:style>
  <w:style w:type="paragraph" w:customStyle="1" w:styleId="BodySmallRight">
    <w:name w:val="Body Small Right"/>
    <w:basedOn w:val="BodyTextRight"/>
    <w:rsid w:val="00085E6F"/>
    <w:rPr>
      <w:sz w:val="18"/>
      <w:szCs w:val="18"/>
    </w:rPr>
  </w:style>
  <w:style w:type="paragraph" w:customStyle="1" w:styleId="MarginEdition">
    <w:name w:val="Margin Edition"/>
    <w:basedOn w:val="MarginNote"/>
    <w:rsid w:val="00085E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E6F"/>
    <w:rPr>
      <w:sz w:val="2"/>
      <w:szCs w:val="2"/>
    </w:rPr>
  </w:style>
  <w:style w:type="character" w:customStyle="1" w:styleId="Small">
    <w:name w:val="Small"/>
    <w:basedOn w:val="DefaultParagraphFont"/>
    <w:rsid w:val="00085E6F"/>
    <w:rPr>
      <w:sz w:val="16"/>
    </w:rPr>
  </w:style>
  <w:style w:type="paragraph" w:customStyle="1" w:styleId="WideTable">
    <w:name w:val="Wide Table"/>
    <w:basedOn w:val="Normal"/>
    <w:rsid w:val="00085E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E6F"/>
  </w:style>
  <w:style w:type="paragraph" w:styleId="Quote">
    <w:name w:val="Quote"/>
    <w:basedOn w:val="Heading1"/>
    <w:link w:val="QuoteChar"/>
    <w:qFormat/>
    <w:rsid w:val="00085E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E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E6F"/>
    <w:pPr>
      <w:pageBreakBefore/>
    </w:pPr>
  </w:style>
  <w:style w:type="paragraph" w:customStyle="1" w:styleId="Border">
    <w:name w:val="Border"/>
    <w:basedOn w:val="Normal"/>
    <w:qFormat/>
    <w:rsid w:val="00085E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E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E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E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E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E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E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E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E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E6F"/>
    <w:rPr>
      <w:u w:val="single"/>
    </w:rPr>
  </w:style>
  <w:style w:type="character" w:customStyle="1" w:styleId="BoldandItalics">
    <w:name w:val="Bold and Italics"/>
    <w:qFormat/>
    <w:rsid w:val="00085E6F"/>
    <w:rPr>
      <w:b/>
      <w:i/>
      <w:u w:val="none"/>
    </w:rPr>
  </w:style>
  <w:style w:type="paragraph" w:styleId="BalloonText">
    <w:name w:val="Balloon Text"/>
    <w:basedOn w:val="Normal"/>
    <w:link w:val="BalloonTextChar"/>
    <w:rsid w:val="00085E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E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E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E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E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E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E6F"/>
    <w:pPr>
      <w:spacing w:before="0" w:after="0"/>
    </w:pPr>
  </w:style>
  <w:style w:type="paragraph" w:customStyle="1" w:styleId="BodyTextBold">
    <w:name w:val="Body Text Bold"/>
    <w:basedOn w:val="BodyText"/>
    <w:qFormat/>
    <w:rsid w:val="00085E6F"/>
    <w:rPr>
      <w:b/>
    </w:rPr>
  </w:style>
  <w:style w:type="character" w:styleId="Hyperlink">
    <w:name w:val="Hyperlink"/>
    <w:basedOn w:val="DefaultParagraphFont"/>
    <w:uiPriority w:val="99"/>
    <w:unhideWhenUsed/>
    <w:rsid w:val="00EC3A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868</Words>
  <Characters>5744</Characters>
  <Application>Microsoft Office Word</Application>
  <DocSecurity>0</DocSecurity>
  <Lines>205</Lines>
  <Paragraphs>161</Paragraphs>
  <ScaleCrop>false</ScaleCrop>
  <Company>Author-it Software Corporation Ltd.</Company>
  <LinksUpToDate>false</LinksUpToDate>
  <CharactersWithSpaces>6451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HLTMSG016 Apply principles of pain neuroscience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2025-03-01T11:11:00Z</dcterms:created>
  <dcterms:modified xsi:type="dcterms:W3CDTF">2025-03-01T11:11:00Z</dcterms:modified>
</cp:coreProperties>
</file>