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91E" w:rsidP="00735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HLTMSG016 Apply principles of pain neuroscience</w:t>
      </w:r>
      <w:r>
        <w:fldChar w:fldCharType="end"/>
      </w:r>
    </w:p>
    <w:p w:rsidR="0073591E" w:rsidP="0073591E">
      <w:pPr>
        <w:pStyle w:val="Version"/>
        <w:sectPr w:rsidSect="008A69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950" w:rsidP="008A6950">
      <w:pPr>
        <w:pStyle w:val="SuperHeading"/>
      </w:pPr>
      <w:r w:rsidRPr="008A6950">
        <w:t>Assessment Requirements for HLTMSG016 Apply principles of pain neuroscience</w:t>
      </w:r>
    </w:p>
    <w:p w:rsidR="00000000" w:rsidRPr="008A6950" w:rsidP="008A6950">
      <w:pPr>
        <w:pStyle w:val="Heading1"/>
      </w:pPr>
      <w:bookmarkStart w:id="1" w:name="O_1234798"/>
      <w:bookmarkEnd w:id="1"/>
      <w:r w:rsidRPr="008A6950">
        <w:t>Modification History</w:t>
      </w:r>
    </w:p>
    <w:p w:rsidR="00000000" w:rsidRPr="008A6950" w:rsidP="0073591E">
      <w:pPr>
        <w:pStyle w:val="BodyText"/>
      </w:pPr>
      <w:r w:rsidRPr="008A6950">
        <w:t>Not applicable.</w:t>
      </w:r>
    </w:p>
    <w:p w:rsidR="00000000" w:rsidRPr="008A6950" w:rsidP="008A6950">
      <w:pPr>
        <w:pStyle w:val="Heading1"/>
      </w:pPr>
      <w:bookmarkStart w:id="2" w:name="O_1234799"/>
      <w:bookmarkEnd w:id="2"/>
      <w:r w:rsidRPr="008A6950">
        <w:t>Performance Evidence</w:t>
      </w:r>
    </w:p>
    <w:p w:rsidR="00000000" w:rsidRPr="008A6950" w:rsidP="0073591E">
      <w:pPr>
        <w:pStyle w:val="BodyText"/>
      </w:pPr>
      <w:r w:rsidRPr="008A6950">
        <w:t>Evidence of the ability to complet</w:t>
      </w:r>
      <w:r w:rsidRPr="008A6950">
        <w:t>e tasks outlined in elements and performance criteria of this unit in the context of the job role, and:</w:t>
      </w:r>
    </w:p>
    <w:p w:rsidR="00000000" w:rsidRPr="008A6950" w:rsidP="008A6950">
      <w:pPr>
        <w:pStyle w:val="ListBullet"/>
      </w:pPr>
      <w:r w:rsidRPr="008A6950">
        <w:t>apply the principles of pain neuroscience involving:</w:t>
      </w:r>
    </w:p>
    <w:p w:rsidR="00000000" w:rsidRPr="008A6950" w:rsidP="008A6950">
      <w:pPr>
        <w:pStyle w:val="ListBullet2"/>
      </w:pPr>
      <w:r w:rsidRPr="008A6950">
        <w:t>conducting research of credible sources of information to update own knowledge of one recent neur</w:t>
      </w:r>
      <w:r w:rsidRPr="008A6950">
        <w:t>oscience development</w:t>
      </w:r>
    </w:p>
    <w:p w:rsidR="00000000" w:rsidRPr="008A6950" w:rsidP="008A6950">
      <w:pPr>
        <w:pStyle w:val="ListBullet2"/>
      </w:pPr>
      <w:r w:rsidRPr="008A6950">
        <w:t>consulting with three clients to develop a documented treatment plan to meet their needs including their pain presentation</w:t>
      </w:r>
    </w:p>
    <w:p w:rsidR="00000000" w:rsidRPr="008A6950" w:rsidP="008A6950">
      <w:pPr>
        <w:pStyle w:val="ListBullet2"/>
      </w:pPr>
      <w:r w:rsidRPr="008A6950">
        <w:t>reflect on own practice after completing each of the three client consultations above.</w:t>
      </w:r>
    </w:p>
    <w:p w:rsidR="00000000" w:rsidRPr="008A6950" w:rsidP="008A6950">
      <w:pPr>
        <w:pStyle w:val="AllowPageBreak"/>
      </w:pPr>
    </w:p>
    <w:p w:rsidR="00000000" w:rsidRPr="008A6950" w:rsidP="008A6950">
      <w:pPr>
        <w:pStyle w:val="Heading1"/>
      </w:pPr>
      <w:bookmarkStart w:id="3" w:name="O_1234800"/>
      <w:bookmarkEnd w:id="3"/>
      <w:r w:rsidRPr="008A6950">
        <w:t>Knowle</w:t>
      </w:r>
      <w:r w:rsidRPr="008A6950">
        <w:t>dge Evidence</w:t>
      </w:r>
    </w:p>
    <w:p w:rsidR="00000000" w:rsidRPr="008A6950" w:rsidP="0073591E">
      <w:pPr>
        <w:pStyle w:val="BodyText"/>
      </w:pPr>
      <w:r w:rsidRPr="008A6950">
        <w:t>Demonstrated knowledge required to complete the tasks outlined in elements and performance criteria of this unit:</w:t>
      </w:r>
    </w:p>
    <w:p w:rsidR="00000000" w:rsidRPr="008A6950" w:rsidP="008A6950">
      <w:pPr>
        <w:pStyle w:val="ListBullet"/>
      </w:pPr>
      <w:r w:rsidRPr="008A6950">
        <w:t>anatomy and physiology of the central and peripheral nervous system applicable to health care assessment and treatment:</w:t>
      </w:r>
    </w:p>
    <w:p w:rsidR="00000000" w:rsidRPr="008A6950" w:rsidP="008A6950">
      <w:pPr>
        <w:pStyle w:val="ListBullet2"/>
      </w:pPr>
      <w:r w:rsidRPr="008A6950">
        <w:t>key structures:</w:t>
      </w:r>
    </w:p>
    <w:p w:rsidR="00000000" w:rsidRPr="008A6950" w:rsidP="008A6950">
      <w:pPr>
        <w:pStyle w:val="ListBullet3"/>
      </w:pPr>
      <w:r w:rsidRPr="008A6950">
        <w:t>cerebrum</w:t>
      </w:r>
    </w:p>
    <w:p w:rsidR="00000000" w:rsidRPr="008A6950" w:rsidP="008A6950">
      <w:pPr>
        <w:pStyle w:val="ListBullet3"/>
      </w:pPr>
      <w:r w:rsidRPr="008A6950">
        <w:t>cerebellum</w:t>
      </w:r>
    </w:p>
    <w:p w:rsidR="00000000" w:rsidRPr="008A6950" w:rsidP="008A6950">
      <w:pPr>
        <w:pStyle w:val="ListBullet3"/>
      </w:pPr>
      <w:r w:rsidRPr="008A6950">
        <w:t>midbrain</w:t>
      </w:r>
    </w:p>
    <w:p w:rsidR="00000000" w:rsidRPr="008A6950" w:rsidP="008A6950">
      <w:pPr>
        <w:pStyle w:val="ListBullet3"/>
      </w:pPr>
      <w:r w:rsidRPr="008A6950">
        <w:t>brainstem</w:t>
      </w:r>
    </w:p>
    <w:p w:rsidR="00000000" w:rsidRPr="008A6950" w:rsidP="008A6950">
      <w:pPr>
        <w:pStyle w:val="ListBullet3"/>
      </w:pPr>
      <w:r w:rsidRPr="008A6950">
        <w:t>spinal cord</w:t>
      </w:r>
    </w:p>
    <w:p w:rsidR="00000000" w:rsidRPr="008A6950" w:rsidP="008A6950">
      <w:pPr>
        <w:pStyle w:val="ListBullet3"/>
      </w:pPr>
      <w:r w:rsidRPr="008A6950">
        <w:t>spinal synapses and lamina</w:t>
      </w:r>
    </w:p>
    <w:p w:rsidR="00000000" w:rsidRPr="008A6950" w:rsidP="008A6950">
      <w:pPr>
        <w:pStyle w:val="ListBullet2"/>
      </w:pPr>
      <w:r w:rsidRPr="008A6950">
        <w:t>key functions</w:t>
      </w:r>
    </w:p>
    <w:p w:rsidR="00000000" w:rsidRPr="008A6950" w:rsidP="008A6950">
      <w:pPr>
        <w:pStyle w:val="ListBullet2"/>
      </w:pPr>
      <w:r w:rsidRPr="008A6950">
        <w:t>monitoring and feedback mechanisms</w:t>
      </w:r>
    </w:p>
    <w:p w:rsidR="00000000" w:rsidRPr="008A6950" w:rsidP="008A6950">
      <w:pPr>
        <w:pStyle w:val="ListBullet2"/>
      </w:pPr>
      <w:r w:rsidRPr="008A6950">
        <w:t>how the anatomy and physiology of the central and peripheral nervous system relates to touch</w:t>
      </w:r>
    </w:p>
    <w:p w:rsidR="00000000" w:rsidRPr="008A6950" w:rsidP="008A6950">
      <w:pPr>
        <w:pStyle w:val="ListBullet"/>
      </w:pPr>
      <w:r w:rsidRPr="008A6950">
        <w:t>phases of sensory processing as related to pain:</w:t>
      </w:r>
    </w:p>
    <w:p w:rsidR="00000000" w:rsidRPr="008A6950" w:rsidP="008A6950">
      <w:pPr>
        <w:pStyle w:val="ListBullet2"/>
      </w:pPr>
      <w:r w:rsidRPr="008A6950">
        <w:t>transduction</w:t>
      </w:r>
    </w:p>
    <w:p w:rsidR="00000000" w:rsidRPr="008A6950" w:rsidP="008A6950">
      <w:pPr>
        <w:pStyle w:val="ListBullet2"/>
      </w:pPr>
      <w:r w:rsidRPr="008A6950">
        <w:t>transmission</w:t>
      </w:r>
    </w:p>
    <w:p w:rsidR="00000000" w:rsidRPr="008A6950" w:rsidP="008A6950">
      <w:pPr>
        <w:pStyle w:val="ListBullet2"/>
      </w:pPr>
      <w:r w:rsidRPr="008A6950">
        <w:t>modulation</w:t>
      </w:r>
    </w:p>
    <w:p w:rsidR="00000000" w:rsidRPr="008A6950" w:rsidP="008A6950">
      <w:pPr>
        <w:pStyle w:val="ListBullet2"/>
      </w:pPr>
      <w:r w:rsidRPr="008A6950">
        <w:t>perception</w:t>
      </w:r>
    </w:p>
    <w:p w:rsidR="00000000" w:rsidRPr="008A6950" w:rsidP="008A6950">
      <w:pPr>
        <w:pStyle w:val="ListBullet"/>
      </w:pPr>
      <w:r w:rsidRPr="008A6950">
        <w:t>how people experience pain</w:t>
      </w:r>
    </w:p>
    <w:p w:rsidR="00000000" w:rsidRPr="008A6950" w:rsidP="008A6950">
      <w:pPr>
        <w:pStyle w:val="ListBullet"/>
      </w:pPr>
      <w:r w:rsidRPr="008A6950">
        <w:t>how chronic pain is developed</w:t>
      </w:r>
    </w:p>
    <w:p w:rsidR="00000000" w:rsidRPr="008A6950" w:rsidP="008A6950">
      <w:pPr>
        <w:pStyle w:val="ListBullet"/>
      </w:pPr>
      <w:r w:rsidRPr="008A6950">
        <w:t>how acute pain is developed</w:t>
      </w:r>
    </w:p>
    <w:p w:rsidR="00000000" w:rsidRPr="008A6950" w:rsidP="008A6950">
      <w:pPr>
        <w:pStyle w:val="ListBullet"/>
      </w:pPr>
      <w:r w:rsidRPr="008A6950">
        <w:t>biopsychosocial approach to pain:</w:t>
      </w:r>
    </w:p>
    <w:p w:rsidR="00000000" w:rsidRPr="008A6950" w:rsidP="008A6950">
      <w:pPr>
        <w:pStyle w:val="ListBullet2"/>
      </w:pPr>
      <w:r w:rsidRPr="008A6950">
        <w:t>biological:</w:t>
      </w:r>
    </w:p>
    <w:p w:rsidR="00000000" w:rsidRPr="008A6950" w:rsidP="008A6950">
      <w:pPr>
        <w:pStyle w:val="ListBullet3"/>
      </w:pPr>
      <w:r w:rsidRPr="008A6950">
        <w:t>gender</w:t>
      </w:r>
    </w:p>
    <w:p w:rsidR="00000000" w:rsidRPr="008A6950" w:rsidP="008A6950">
      <w:pPr>
        <w:pStyle w:val="ListBullet3"/>
      </w:pPr>
      <w:r w:rsidRPr="008A6950">
        <w:t>physical health</w:t>
      </w:r>
    </w:p>
    <w:p w:rsidR="00000000" w:rsidRPr="008A6950" w:rsidP="008A6950">
      <w:pPr>
        <w:pStyle w:val="ListBullet3"/>
      </w:pPr>
      <w:r w:rsidRPr="008A6950">
        <w:t>genetic predisposition</w:t>
      </w:r>
    </w:p>
    <w:p w:rsidR="00000000" w:rsidRPr="008A6950" w:rsidP="008A6950">
      <w:pPr>
        <w:pStyle w:val="ListBullet3"/>
      </w:pPr>
      <w:r w:rsidRPr="008A6950">
        <w:t>immune function</w:t>
      </w:r>
    </w:p>
    <w:p w:rsidR="00000000" w:rsidRPr="008A6950" w:rsidP="008A6950">
      <w:pPr>
        <w:pStyle w:val="ListBullet3"/>
      </w:pPr>
      <w:r w:rsidRPr="008A6950">
        <w:t>effects of medication</w:t>
      </w:r>
    </w:p>
    <w:p w:rsidR="00000000" w:rsidRPr="008A6950" w:rsidP="008A6950">
      <w:pPr>
        <w:pStyle w:val="ListBullet2"/>
      </w:pPr>
      <w:r w:rsidRPr="008A6950">
        <w:t>psychological:</w:t>
      </w:r>
    </w:p>
    <w:p w:rsidR="00000000" w:rsidRPr="008A6950" w:rsidP="008A6950">
      <w:pPr>
        <w:pStyle w:val="ListBullet3"/>
      </w:pPr>
      <w:r w:rsidRPr="008A6950">
        <w:t>behaviours</w:t>
      </w:r>
    </w:p>
    <w:p w:rsidR="00000000" w:rsidRPr="008A6950" w:rsidP="008A6950">
      <w:pPr>
        <w:pStyle w:val="ListBullet3"/>
      </w:pPr>
      <w:r w:rsidRPr="008A6950">
        <w:t>emotions</w:t>
      </w:r>
    </w:p>
    <w:p w:rsidR="00000000" w:rsidRPr="008A6950" w:rsidP="008A6950">
      <w:pPr>
        <w:pStyle w:val="ListBullet3"/>
      </w:pPr>
      <w:r w:rsidRPr="008A6950">
        <w:t>attitudes and beliefs</w:t>
      </w:r>
    </w:p>
    <w:p w:rsidR="00000000" w:rsidRPr="008A6950" w:rsidP="008A6950">
      <w:pPr>
        <w:pStyle w:val="ListBullet3"/>
      </w:pPr>
      <w:r w:rsidRPr="008A6950">
        <w:t>level of stress and ability to cope</w:t>
      </w:r>
    </w:p>
    <w:p w:rsidR="00000000" w:rsidRPr="008A6950" w:rsidP="008A6950">
      <w:pPr>
        <w:pStyle w:val="ListBullet3"/>
      </w:pPr>
      <w:r w:rsidRPr="008A6950">
        <w:t>mental health</w:t>
      </w:r>
    </w:p>
    <w:p w:rsidR="00000000" w:rsidRPr="008A6950" w:rsidP="008A6950">
      <w:pPr>
        <w:pStyle w:val="ListBullet2"/>
      </w:pPr>
      <w:r w:rsidRPr="008A6950">
        <w:t>social:</w:t>
      </w:r>
    </w:p>
    <w:p w:rsidR="00000000" w:rsidRPr="008A6950" w:rsidP="008A6950">
      <w:pPr>
        <w:pStyle w:val="ListBullet3"/>
      </w:pPr>
      <w:r w:rsidRPr="008A6950">
        <w:t>family relationships</w:t>
      </w:r>
    </w:p>
    <w:p w:rsidR="00000000" w:rsidRPr="008A6950" w:rsidP="008A6950">
      <w:pPr>
        <w:pStyle w:val="ListBullet3"/>
      </w:pPr>
      <w:r w:rsidRPr="008A6950">
        <w:t>socio-economic factors</w:t>
      </w:r>
    </w:p>
    <w:p w:rsidR="00000000" w:rsidRPr="008A6950" w:rsidP="008A6950">
      <w:pPr>
        <w:pStyle w:val="ListBullet3"/>
      </w:pPr>
      <w:r w:rsidRPr="008A6950">
        <w:t>cultural factors</w:t>
      </w:r>
    </w:p>
    <w:p w:rsidR="00000000" w:rsidRPr="008A6950" w:rsidP="008A6950">
      <w:pPr>
        <w:pStyle w:val="ListBullet"/>
      </w:pPr>
      <w:r w:rsidRPr="008A6950">
        <w:t>basic neurological assessment:</w:t>
      </w:r>
    </w:p>
    <w:p w:rsidR="00000000" w:rsidRPr="008A6950" w:rsidP="008A6950">
      <w:pPr>
        <w:pStyle w:val="ListBullet2"/>
      </w:pPr>
      <w:r w:rsidRPr="008A6950">
        <w:t>dermatome</w:t>
      </w:r>
    </w:p>
    <w:p w:rsidR="00000000" w:rsidRPr="008A6950" w:rsidP="008A6950">
      <w:pPr>
        <w:pStyle w:val="ListBullet2"/>
      </w:pPr>
      <w:r w:rsidRPr="008A6950">
        <w:t>myotome</w:t>
      </w:r>
    </w:p>
    <w:p w:rsidR="00000000" w:rsidRPr="008A6950" w:rsidP="008A6950">
      <w:pPr>
        <w:pStyle w:val="ListBullet2"/>
      </w:pPr>
      <w:r w:rsidRPr="008A6950">
        <w:t>reflexes</w:t>
      </w:r>
    </w:p>
    <w:p w:rsidR="00000000" w:rsidRPr="008A6950" w:rsidP="008A6950">
      <w:pPr>
        <w:pStyle w:val="ListBullet"/>
      </w:pPr>
      <w:r w:rsidRPr="008A6950">
        <w:t>how a biopsychosocial understanding of pain can be applied to clinical practice</w:t>
      </w:r>
    </w:p>
    <w:p w:rsidR="00000000" w:rsidRPr="008A6950" w:rsidP="008A6950">
      <w:pPr>
        <w:pStyle w:val="ListBullet"/>
      </w:pPr>
      <w:r w:rsidRPr="008A6950">
        <w:t>modulation of pain:</w:t>
      </w:r>
    </w:p>
    <w:p w:rsidR="00000000" w:rsidRPr="008A6950" w:rsidP="008A6950">
      <w:pPr>
        <w:pStyle w:val="ListBullet2"/>
      </w:pPr>
      <w:r w:rsidRPr="008A6950">
        <w:t>placebo and nocebo and their effect on pain</w:t>
      </w:r>
    </w:p>
    <w:p w:rsidR="00000000" w:rsidRPr="008A6950" w:rsidP="008A6950">
      <w:pPr>
        <w:pStyle w:val="ListBullet"/>
      </w:pPr>
      <w:r w:rsidRPr="008A6950">
        <w:t>role of descending inhibition in relief of pain</w:t>
      </w:r>
    </w:p>
    <w:p w:rsidR="00000000" w:rsidRPr="008A6950" w:rsidP="008A6950">
      <w:pPr>
        <w:pStyle w:val="ListBullet"/>
      </w:pPr>
      <w:r w:rsidRPr="008A6950">
        <w:t>signs and symptoms of sensitisation:</w:t>
      </w:r>
    </w:p>
    <w:p w:rsidR="00000000" w:rsidRPr="008A6950" w:rsidP="008A6950">
      <w:pPr>
        <w:pStyle w:val="ListBullet2"/>
      </w:pPr>
      <w:r w:rsidRPr="008A6950">
        <w:t>peripheral</w:t>
      </w:r>
    </w:p>
    <w:p w:rsidR="00000000" w:rsidRPr="008A6950" w:rsidP="008A6950">
      <w:pPr>
        <w:pStyle w:val="ListBullet2"/>
      </w:pPr>
      <w:r w:rsidRPr="008A6950">
        <w:t>central</w:t>
      </w:r>
    </w:p>
    <w:p w:rsidR="00000000" w:rsidRPr="008A6950" w:rsidP="008A6950">
      <w:pPr>
        <w:pStyle w:val="ListBullet2"/>
      </w:pPr>
      <w:r w:rsidRPr="008A6950">
        <w:t>effect on chronic pain</w:t>
      </w:r>
    </w:p>
    <w:p w:rsidR="00000000" w:rsidRPr="008A6950" w:rsidP="008A6950">
      <w:pPr>
        <w:pStyle w:val="ListBullet"/>
      </w:pPr>
      <w:r w:rsidRPr="008A6950">
        <w:t>types of pain:</w:t>
      </w:r>
    </w:p>
    <w:p w:rsidR="00000000" w:rsidRPr="008A6950" w:rsidP="008A6950">
      <w:pPr>
        <w:pStyle w:val="ListBullet2"/>
      </w:pPr>
      <w:r w:rsidRPr="008A6950">
        <w:t>nociceptive</w:t>
      </w:r>
    </w:p>
    <w:p w:rsidR="00000000" w:rsidRPr="008A6950" w:rsidP="008A6950">
      <w:pPr>
        <w:pStyle w:val="ListBullet2"/>
      </w:pPr>
      <w:r w:rsidRPr="008A6950">
        <w:t>neuropathic</w:t>
      </w:r>
    </w:p>
    <w:p w:rsidR="00000000" w:rsidRPr="008A6950" w:rsidP="008A6950">
      <w:pPr>
        <w:pStyle w:val="ListBullet2"/>
      </w:pPr>
      <w:r w:rsidRPr="008A6950">
        <w:t>nociplastic</w:t>
      </w:r>
    </w:p>
    <w:p w:rsidR="00000000" w:rsidRPr="008A6950" w:rsidP="008A6950">
      <w:pPr>
        <w:pStyle w:val="ListBullet"/>
      </w:pPr>
      <w:r w:rsidRPr="008A6950">
        <w:t>principles of a client-centred approach:</w:t>
      </w:r>
    </w:p>
    <w:p w:rsidR="00000000" w:rsidRPr="008A6950" w:rsidP="008A6950">
      <w:pPr>
        <w:pStyle w:val="ListBullet2"/>
      </w:pPr>
      <w:r w:rsidRPr="008A6950">
        <w:t>empathy</w:t>
      </w:r>
    </w:p>
    <w:p w:rsidR="00000000" w:rsidRPr="008A6950" w:rsidP="008A6950">
      <w:pPr>
        <w:pStyle w:val="ListBullet2"/>
      </w:pPr>
      <w:r w:rsidRPr="008A6950">
        <w:t>non-judgemental attitude</w:t>
      </w:r>
    </w:p>
    <w:p w:rsidR="00000000" w:rsidRPr="008A6950" w:rsidP="008A6950">
      <w:pPr>
        <w:pStyle w:val="ListBullet"/>
      </w:pPr>
      <w:r w:rsidRPr="008A6950">
        <w:t>referral options for therapists:</w:t>
      </w:r>
    </w:p>
    <w:p w:rsidR="00000000" w:rsidRPr="008A6950" w:rsidP="008A6950">
      <w:pPr>
        <w:pStyle w:val="ListBullet2"/>
      </w:pPr>
      <w:r w:rsidRPr="008A6950">
        <w:t>allied healt</w:t>
      </w:r>
      <w:r w:rsidRPr="008A6950">
        <w:t xml:space="preserve">h service and other health modalities </w:t>
      </w:r>
    </w:p>
    <w:p w:rsidR="00000000" w:rsidRPr="008A6950" w:rsidP="008A6950">
      <w:pPr>
        <w:pStyle w:val="ListBullet2"/>
      </w:pPr>
      <w:r w:rsidRPr="008A6950">
        <w:t>medical practitioner</w:t>
      </w:r>
    </w:p>
    <w:p w:rsidR="00000000" w:rsidRPr="008A6950" w:rsidP="008A6950">
      <w:pPr>
        <w:pStyle w:val="ListBullet2"/>
      </w:pPr>
      <w:r w:rsidRPr="008A6950">
        <w:t>support service</w:t>
      </w:r>
    </w:p>
    <w:p w:rsidR="00000000" w:rsidRPr="008A6950" w:rsidP="008A6950">
      <w:pPr>
        <w:pStyle w:val="ListBullet2"/>
      </w:pPr>
      <w:r w:rsidRPr="008A6950">
        <w:t>types, limitations and availability of further medical testing</w:t>
      </w:r>
    </w:p>
    <w:p w:rsidR="00000000" w:rsidRPr="008A6950" w:rsidP="008A6950">
      <w:pPr>
        <w:pStyle w:val="ListBullet"/>
      </w:pPr>
      <w:r w:rsidRPr="008A6950">
        <w:t>criteria for determining credible sources of information</w:t>
      </w:r>
    </w:p>
    <w:p w:rsidR="00000000" w:rsidRPr="008A6950" w:rsidP="008A6950">
      <w:pPr>
        <w:pStyle w:val="ListBullet"/>
      </w:pPr>
      <w:r w:rsidRPr="008A6950">
        <w:t>documentation requirements for recording treatment details using industry standard abbreviations</w:t>
      </w:r>
    </w:p>
    <w:p w:rsidR="00000000" w:rsidRPr="008A6950" w:rsidP="008A6950">
      <w:pPr>
        <w:pStyle w:val="ListBullet"/>
      </w:pPr>
      <w:r w:rsidRPr="008A6950">
        <w:t>techniques for self-reflection.</w:t>
      </w:r>
    </w:p>
    <w:p w:rsidR="00000000" w:rsidRPr="008A6950" w:rsidP="008A6950">
      <w:pPr>
        <w:pStyle w:val="AllowPageBreak"/>
      </w:pPr>
    </w:p>
    <w:p w:rsidR="00000000" w:rsidRPr="008A6950" w:rsidP="008A6950">
      <w:pPr>
        <w:pStyle w:val="Heading1"/>
      </w:pPr>
      <w:bookmarkStart w:id="4" w:name="O_1234801"/>
      <w:bookmarkEnd w:id="4"/>
      <w:r w:rsidRPr="008A6950">
        <w:t>Assessment Conditions</w:t>
      </w:r>
    </w:p>
    <w:p w:rsidR="00000000" w:rsidRPr="008A6950" w:rsidP="0073591E">
      <w:pPr>
        <w:pStyle w:val="BodyText"/>
      </w:pPr>
      <w:r w:rsidRPr="008A6950">
        <w:t>Skills must be demonstrated in a simulated clinical environment that reflects workplac</w:t>
      </w:r>
      <w:r w:rsidRPr="008A6950">
        <w:t>e conditions set up for the purpose of skills assessment.</w:t>
      </w:r>
    </w:p>
    <w:p w:rsidR="00000000" w:rsidRPr="008A6950" w:rsidP="0073591E">
      <w:pPr>
        <w:pStyle w:val="BodyText"/>
      </w:pPr>
      <w:r w:rsidRPr="008A6950">
        <w:t>Assessment must ensure access to:</w:t>
      </w:r>
    </w:p>
    <w:p w:rsidR="00000000" w:rsidRPr="008A6950" w:rsidP="008A6950">
      <w:pPr>
        <w:pStyle w:val="ListBullet"/>
      </w:pPr>
      <w:r w:rsidRPr="008A6950">
        <w:t>client information including health records</w:t>
      </w:r>
    </w:p>
    <w:p w:rsidR="00000000" w:rsidRPr="008A6950" w:rsidP="008A6950">
      <w:pPr>
        <w:pStyle w:val="ListBullet"/>
      </w:pPr>
      <w:r w:rsidRPr="008A6950">
        <w:t>treatment plan template</w:t>
      </w:r>
    </w:p>
    <w:p w:rsidR="00000000" w:rsidRPr="008A6950" w:rsidP="008A6950">
      <w:pPr>
        <w:pStyle w:val="ListBullet"/>
      </w:pPr>
      <w:r w:rsidRPr="008A6950">
        <w:t>private consultation area.</w:t>
      </w:r>
    </w:p>
    <w:p w:rsidR="00000000" w:rsidRPr="008A6950" w:rsidP="0073591E">
      <w:pPr>
        <w:pStyle w:val="BodyText"/>
      </w:pPr>
      <w:r w:rsidRPr="008A6950">
        <w:t>Assessors must satisfy the Standards for Registered Training Organis</w:t>
      </w:r>
      <w:r w:rsidRPr="008A6950">
        <w:t>ations’ requirements for assessor, and</w:t>
      </w:r>
    </w:p>
    <w:p w:rsidR="00000000" w:rsidRPr="008A6950" w:rsidP="008A6950">
      <w:pPr>
        <w:pStyle w:val="ListBullet"/>
      </w:pPr>
      <w:r w:rsidRPr="008A6950">
        <w:t>have current clinical experience working as a health care practitioner providing services to the general public.</w:t>
      </w:r>
    </w:p>
    <w:p w:rsidR="00000000" w:rsidRPr="008A6950" w:rsidP="008A6950">
      <w:pPr>
        <w:pStyle w:val="AllowPageBreak"/>
      </w:pPr>
    </w:p>
    <w:p w:rsidR="00000000" w:rsidRPr="008A6950" w:rsidP="008A6950">
      <w:pPr>
        <w:pStyle w:val="Heading1"/>
      </w:pPr>
      <w:bookmarkStart w:id="5" w:name="O_1234804"/>
      <w:bookmarkEnd w:id="5"/>
      <w:r w:rsidRPr="008A6950">
        <w:t>Links</w:t>
      </w:r>
    </w:p>
    <w:p w:rsidR="00000000" w:rsidRPr="008A6950" w:rsidP="0073591E">
      <w:pPr>
        <w:pStyle w:val="BodyText"/>
      </w:pPr>
      <w:r w:rsidRPr="008A69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7693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A6950" w:rsidP="008A6950"/>
    <w:sectPr w:rsidSect="008A69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50" w:rsidRPr="0073591E" w:rsidP="00735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1E" w:rsidP="008A69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91E" w:rsidP="008A69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591E" w:rsidP="008A69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950" w:rsidRPr="0073591E" w:rsidP="007359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9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91E" w:rsidRPr="002D2AF8" w:rsidP="008A69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HLTMSG016 Apply principles of pain neuroscience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3591E" w:rsidP="008A69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ACF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969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403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9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9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9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9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9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9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9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9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9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9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9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950"/>
  </w:style>
  <w:style w:type="character" w:customStyle="1" w:styleId="Heading1Char">
    <w:name w:val="Heading 1 Char"/>
    <w:basedOn w:val="DefaultParagraphFont"/>
    <w:link w:val="Heading1"/>
    <w:rsid w:val="008A69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9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9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95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69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69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9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695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69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9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9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9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9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9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9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9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9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9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9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9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9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9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9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9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6950"/>
    <w:rPr>
      <w:b/>
      <w:spacing w:val="0"/>
    </w:rPr>
  </w:style>
  <w:style w:type="paragraph" w:customStyle="1" w:styleId="SuperTitle">
    <w:name w:val="SuperTitle"/>
    <w:basedOn w:val="Title"/>
    <w:rsid w:val="008A69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9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9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9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9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9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9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9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9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9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9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9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950"/>
    <w:rPr>
      <w:i/>
    </w:rPr>
  </w:style>
  <w:style w:type="paragraph" w:styleId="Caption">
    <w:name w:val="caption"/>
    <w:basedOn w:val="BodyText"/>
    <w:next w:val="Normal"/>
    <w:qFormat/>
    <w:rsid w:val="008A69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9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9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950"/>
  </w:style>
  <w:style w:type="paragraph" w:styleId="TableofFigures">
    <w:name w:val="table of figures"/>
    <w:basedOn w:val="Normal"/>
    <w:next w:val="Normal"/>
    <w:semiHidden/>
    <w:rsid w:val="008A69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9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6950"/>
    <w:rPr>
      <w:rFonts w:ascii="Wingdings" w:hAnsi="Wingdings"/>
    </w:rPr>
  </w:style>
  <w:style w:type="paragraph" w:customStyle="1" w:styleId="TableHeading">
    <w:name w:val="Table Heading"/>
    <w:basedOn w:val="HeadingBase"/>
    <w:rsid w:val="008A69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950"/>
    <w:rPr>
      <w:color w:val="0033CC"/>
      <w:u w:val="none"/>
    </w:rPr>
  </w:style>
  <w:style w:type="paragraph" w:customStyle="1" w:styleId="BodyTextRight">
    <w:name w:val="Body Text Right"/>
    <w:basedOn w:val="BodyText"/>
    <w:rsid w:val="008A69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9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9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9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9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9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950"/>
    <w:rPr>
      <w:sz w:val="32"/>
    </w:rPr>
  </w:style>
  <w:style w:type="paragraph" w:customStyle="1" w:styleId="HeadingProcedure">
    <w:name w:val="Heading Procedure"/>
    <w:basedOn w:val="HeadingBase"/>
    <w:next w:val="Normal"/>
    <w:rsid w:val="008A69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950"/>
    <w:pPr>
      <w:spacing w:before="60" w:after="60"/>
    </w:pPr>
  </w:style>
  <w:style w:type="paragraph" w:styleId="ListContinue">
    <w:name w:val="List Continue"/>
    <w:basedOn w:val="List"/>
    <w:rsid w:val="008A6950"/>
    <w:pPr>
      <w:ind w:firstLine="0"/>
    </w:pPr>
  </w:style>
  <w:style w:type="paragraph" w:customStyle="1" w:styleId="ListNote">
    <w:name w:val="List Note"/>
    <w:basedOn w:val="List"/>
    <w:rsid w:val="008A69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9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9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950"/>
    <w:rPr>
      <w:rFonts w:ascii="Courier New" w:hAnsi="Courier New"/>
    </w:rPr>
  </w:style>
  <w:style w:type="paragraph" w:customStyle="1" w:styleId="NoteBullet">
    <w:name w:val="Note Bullet"/>
    <w:basedOn w:val="Note"/>
    <w:rsid w:val="008A69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9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9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9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9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69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9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950"/>
    <w:rPr>
      <w:b/>
      <w:smallCaps/>
    </w:rPr>
  </w:style>
  <w:style w:type="paragraph" w:customStyle="1" w:styleId="TableListNumber">
    <w:name w:val="Table List Number"/>
    <w:basedOn w:val="ListNumber"/>
    <w:rsid w:val="008A69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9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950"/>
    <w:pPr>
      <w:numPr>
        <w:numId w:val="10"/>
      </w:numPr>
    </w:pPr>
  </w:style>
  <w:style w:type="paragraph" w:customStyle="1" w:styleId="ListAlpha2">
    <w:name w:val="List Alpha 2"/>
    <w:basedOn w:val="List2"/>
    <w:rsid w:val="008A6950"/>
    <w:pPr>
      <w:numPr>
        <w:numId w:val="9"/>
      </w:numPr>
    </w:pPr>
  </w:style>
  <w:style w:type="paragraph" w:styleId="List2">
    <w:name w:val="List 2"/>
    <w:basedOn w:val="BodyText"/>
    <w:rsid w:val="008A69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9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9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9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69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6950"/>
    <w:pPr>
      <w:numPr>
        <w:numId w:val="5"/>
      </w:numPr>
    </w:pPr>
  </w:style>
  <w:style w:type="paragraph" w:styleId="ListContinue2">
    <w:name w:val="List Continue 2"/>
    <w:basedOn w:val="List2"/>
    <w:rsid w:val="008A6950"/>
    <w:pPr>
      <w:ind w:firstLine="0"/>
    </w:pPr>
  </w:style>
  <w:style w:type="paragraph" w:styleId="ListContinue3">
    <w:name w:val="List Continue 3"/>
    <w:basedOn w:val="List3"/>
    <w:rsid w:val="008A6950"/>
    <w:pPr>
      <w:ind w:left="1021" w:firstLine="0"/>
    </w:pPr>
  </w:style>
  <w:style w:type="paragraph" w:styleId="ListContinue4">
    <w:name w:val="List Continue 4"/>
    <w:basedOn w:val="List4"/>
    <w:rsid w:val="008A6950"/>
    <w:pPr>
      <w:ind w:firstLine="0"/>
    </w:pPr>
  </w:style>
  <w:style w:type="paragraph" w:styleId="ListContinue5">
    <w:name w:val="List Continue 5"/>
    <w:basedOn w:val="List5"/>
    <w:rsid w:val="008A6950"/>
    <w:pPr>
      <w:ind w:firstLine="0"/>
    </w:pPr>
  </w:style>
  <w:style w:type="paragraph" w:styleId="ListNumber3">
    <w:name w:val="List Number 3"/>
    <w:basedOn w:val="List3"/>
    <w:rsid w:val="008A6950"/>
    <w:pPr>
      <w:numPr>
        <w:numId w:val="6"/>
      </w:numPr>
    </w:pPr>
  </w:style>
  <w:style w:type="paragraph" w:styleId="ListNumber4">
    <w:name w:val="List Number 4"/>
    <w:basedOn w:val="List4"/>
    <w:rsid w:val="008A6950"/>
    <w:pPr>
      <w:numPr>
        <w:numId w:val="7"/>
      </w:numPr>
    </w:pPr>
  </w:style>
  <w:style w:type="paragraph" w:styleId="ListNumber5">
    <w:name w:val="List Number 5"/>
    <w:basedOn w:val="List5"/>
    <w:rsid w:val="008A6950"/>
    <w:pPr>
      <w:numPr>
        <w:numId w:val="8"/>
      </w:numPr>
    </w:pPr>
  </w:style>
  <w:style w:type="paragraph" w:styleId="BlockText">
    <w:name w:val="Block Text"/>
    <w:basedOn w:val="Normal"/>
    <w:rsid w:val="008A69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9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950"/>
    <w:rPr>
      <w:sz w:val="16"/>
      <w:vertAlign w:val="superscript"/>
    </w:rPr>
  </w:style>
  <w:style w:type="character" w:customStyle="1" w:styleId="Symbols">
    <w:name w:val="Symbols"/>
    <w:basedOn w:val="DefaultParagraphFont"/>
    <w:rsid w:val="008A6950"/>
    <w:rPr>
      <w:rFonts w:ascii="Symbol" w:hAnsi="Symbol"/>
    </w:rPr>
  </w:style>
  <w:style w:type="character" w:customStyle="1" w:styleId="MenuOptions">
    <w:name w:val="Menu Options"/>
    <w:basedOn w:val="DefaultParagraphFont"/>
    <w:rsid w:val="008A69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950"/>
    <w:rPr>
      <w:b/>
    </w:rPr>
  </w:style>
  <w:style w:type="character" w:customStyle="1" w:styleId="Underlined">
    <w:name w:val="Underlined"/>
    <w:basedOn w:val="DefaultParagraphFont"/>
    <w:rsid w:val="008A6950"/>
    <w:rPr>
      <w:u w:val="single"/>
    </w:rPr>
  </w:style>
  <w:style w:type="paragraph" w:customStyle="1" w:styleId="TableBodyTextRight">
    <w:name w:val="Table Body Text Right"/>
    <w:basedOn w:val="TableBodyText"/>
    <w:rsid w:val="008A69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950"/>
    <w:rPr>
      <w:sz w:val="18"/>
    </w:rPr>
  </w:style>
  <w:style w:type="paragraph" w:customStyle="1" w:styleId="BodySmallRight">
    <w:name w:val="Body Small Right"/>
    <w:basedOn w:val="BodyTextRight"/>
    <w:rsid w:val="008A6950"/>
    <w:rPr>
      <w:sz w:val="18"/>
      <w:szCs w:val="18"/>
    </w:rPr>
  </w:style>
  <w:style w:type="paragraph" w:customStyle="1" w:styleId="MarginEdition">
    <w:name w:val="Margin Edition"/>
    <w:basedOn w:val="MarginNote"/>
    <w:rsid w:val="008A69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950"/>
    <w:rPr>
      <w:sz w:val="2"/>
      <w:szCs w:val="2"/>
    </w:rPr>
  </w:style>
  <w:style w:type="character" w:customStyle="1" w:styleId="Small">
    <w:name w:val="Small"/>
    <w:basedOn w:val="DefaultParagraphFont"/>
    <w:rsid w:val="008A6950"/>
    <w:rPr>
      <w:sz w:val="16"/>
    </w:rPr>
  </w:style>
  <w:style w:type="paragraph" w:customStyle="1" w:styleId="WideTable">
    <w:name w:val="Wide Table"/>
    <w:basedOn w:val="Normal"/>
    <w:rsid w:val="008A69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950"/>
  </w:style>
  <w:style w:type="paragraph" w:styleId="Quote">
    <w:name w:val="Quote"/>
    <w:basedOn w:val="Heading1"/>
    <w:link w:val="QuoteChar"/>
    <w:qFormat/>
    <w:rsid w:val="008A69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9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950"/>
    <w:pPr>
      <w:pageBreakBefore/>
    </w:pPr>
  </w:style>
  <w:style w:type="paragraph" w:customStyle="1" w:styleId="Border">
    <w:name w:val="Border"/>
    <w:basedOn w:val="Normal"/>
    <w:qFormat/>
    <w:rsid w:val="008A69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9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9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9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9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9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9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9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9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950"/>
    <w:rPr>
      <w:u w:val="single"/>
    </w:rPr>
  </w:style>
  <w:style w:type="character" w:customStyle="1" w:styleId="BoldandItalics">
    <w:name w:val="Bold and Italics"/>
    <w:qFormat/>
    <w:rsid w:val="008A6950"/>
    <w:rPr>
      <w:b/>
      <w:i/>
      <w:u w:val="none"/>
    </w:rPr>
  </w:style>
  <w:style w:type="paragraph" w:styleId="BalloonText">
    <w:name w:val="Balloon Text"/>
    <w:basedOn w:val="Normal"/>
    <w:link w:val="BalloonTextChar"/>
    <w:rsid w:val="008A6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9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9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9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9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9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950"/>
    <w:pPr>
      <w:spacing w:before="0" w:after="0"/>
    </w:pPr>
  </w:style>
  <w:style w:type="paragraph" w:customStyle="1" w:styleId="BodyTextBold">
    <w:name w:val="Body Text Bold"/>
    <w:basedOn w:val="BodyText"/>
    <w:qFormat/>
    <w:rsid w:val="008A6950"/>
    <w:rPr>
      <w:b/>
    </w:rPr>
  </w:style>
  <w:style w:type="character" w:styleId="Hyperlink">
    <w:name w:val="Hyperlink"/>
    <w:basedOn w:val="DefaultParagraphFont"/>
    <w:uiPriority w:val="99"/>
    <w:unhideWhenUsed/>
    <w:rsid w:val="007359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2950</Characters>
  <Application>Microsoft Office Word</Application>
  <DocSecurity>0</DocSecurity>
  <Lines>109</Lines>
  <Paragraphs>99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HLTMSG016 Apply principles of pain neuroscience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2023-07-01T04:22:00Z</dcterms:created>
  <dcterms:modified xsi:type="dcterms:W3CDTF">2023-07-01T04:22:00Z</dcterms:modified>
</cp:coreProperties>
</file>