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36B" w:rsidP="00237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HLTMSG010 Assess client massage needs</w:t>
      </w:r>
      <w:r>
        <w:fldChar w:fldCharType="end"/>
      </w:r>
    </w:p>
    <w:p w:rsidR="0023736B" w:rsidP="0023736B">
      <w:pPr>
        <w:pStyle w:val="Version"/>
        <w:sectPr w:rsidSect="00EB1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435" w:rsidP="00EB1435">
      <w:pPr>
        <w:pStyle w:val="SuperHeading"/>
      </w:pPr>
      <w:r w:rsidRPr="00EB1435">
        <w:t>Assessment Requirements for HLTMSG010 Assess client massage needs</w:t>
      </w:r>
    </w:p>
    <w:p w:rsidR="00000000" w:rsidRPr="00EB1435" w:rsidP="00EB1435">
      <w:pPr>
        <w:pStyle w:val="Heading1"/>
      </w:pPr>
      <w:bookmarkStart w:id="1" w:name="O_1234680"/>
      <w:bookmarkEnd w:id="1"/>
      <w:r w:rsidRPr="00EB1435">
        <w:t>Modification History</w:t>
      </w:r>
    </w:p>
    <w:p w:rsidR="00000000" w:rsidRPr="00EB1435" w:rsidP="0023736B">
      <w:pPr>
        <w:pStyle w:val="BodyText"/>
      </w:pPr>
      <w:r w:rsidRPr="00EB1435">
        <w:t>Not applicable.</w:t>
      </w:r>
    </w:p>
    <w:p w:rsidR="00000000" w:rsidRPr="00EB1435" w:rsidP="00EB1435">
      <w:pPr>
        <w:pStyle w:val="Heading1"/>
      </w:pPr>
      <w:bookmarkStart w:id="2" w:name="O_1234683"/>
      <w:bookmarkEnd w:id="2"/>
      <w:r w:rsidRPr="00EB1435">
        <w:t>Performance Evidence</w:t>
      </w:r>
    </w:p>
    <w:p w:rsidR="00000000" w:rsidRPr="00EB1435" w:rsidP="0023736B">
      <w:pPr>
        <w:pStyle w:val="BodyText"/>
      </w:pPr>
      <w:r w:rsidRPr="00EB1435">
        <w:t>Evidence of the ability to complete tasks ou</w:t>
      </w:r>
      <w:r w:rsidRPr="00EB1435">
        <w:t>tlined in elements and performance criteria of this unit in the context of the job role, and:</w:t>
      </w:r>
    </w:p>
    <w:p w:rsidR="00000000" w:rsidRPr="00EB1435" w:rsidP="00EB1435">
      <w:pPr>
        <w:pStyle w:val="ListBullet"/>
      </w:pPr>
      <w:r w:rsidRPr="00EB1435">
        <w:t>conduct a complete client assessment on three different people that involves:</w:t>
      </w:r>
    </w:p>
    <w:p w:rsidR="00000000" w:rsidRPr="00EB1435" w:rsidP="00EB1435">
      <w:pPr>
        <w:pStyle w:val="ListBullet2"/>
      </w:pPr>
      <w:r w:rsidRPr="00EB1435">
        <w:t>completing each assessment within an acceptable commercial timeframe</w:t>
      </w:r>
    </w:p>
    <w:p w:rsidR="00000000" w:rsidRPr="00EB1435" w:rsidP="00EB1435">
      <w:pPr>
        <w:pStyle w:val="ListBullet2"/>
      </w:pPr>
      <w:r w:rsidRPr="00EB1435">
        <w:t>using palpati</w:t>
      </w:r>
      <w:r w:rsidRPr="00EB1435">
        <w:t>on and observation assessment methods</w:t>
      </w:r>
    </w:p>
    <w:p w:rsidR="00000000" w:rsidRPr="00EB1435" w:rsidP="00EB1435">
      <w:pPr>
        <w:pStyle w:val="ListBullet2"/>
      </w:pPr>
      <w:r w:rsidRPr="00EB1435">
        <w:t>incorporating upper and lower body assessment</w:t>
      </w:r>
    </w:p>
    <w:p w:rsidR="00000000" w:rsidRPr="00EB1435" w:rsidP="00EB1435">
      <w:pPr>
        <w:pStyle w:val="ListBullet2"/>
      </w:pPr>
      <w:r w:rsidRPr="00EB1435">
        <w:t>communicating clear information about services, treatment options and rationale to each client</w:t>
      </w:r>
    </w:p>
    <w:p w:rsidR="00000000" w:rsidRPr="00EB1435" w:rsidP="00EB1435">
      <w:pPr>
        <w:pStyle w:val="ListBullet2"/>
      </w:pPr>
      <w:r w:rsidRPr="00EB1435">
        <w:t>engaging each client in decision making.</w:t>
      </w:r>
    </w:p>
    <w:p w:rsidR="00000000" w:rsidRPr="00EB1435" w:rsidP="00EB1435">
      <w:pPr>
        <w:pStyle w:val="AllowPageBreak"/>
      </w:pPr>
    </w:p>
    <w:p w:rsidR="00000000" w:rsidRPr="00EB1435" w:rsidP="00EB1435">
      <w:pPr>
        <w:pStyle w:val="Heading1"/>
      </w:pPr>
      <w:bookmarkStart w:id="3" w:name="O_1234682"/>
      <w:bookmarkEnd w:id="3"/>
      <w:r w:rsidRPr="00EB1435">
        <w:t>Knowledge Evidenc</w:t>
      </w:r>
      <w:r w:rsidRPr="00EB1435">
        <w:t>e</w:t>
      </w:r>
    </w:p>
    <w:p w:rsidR="00000000" w:rsidRPr="00EB1435" w:rsidP="0023736B">
      <w:pPr>
        <w:pStyle w:val="BodyText"/>
      </w:pPr>
      <w:r w:rsidRPr="00EB1435">
        <w:t>Demonstrated knowledge required to complete the tasks outlined in elements and performance criteria of this unit:</w:t>
      </w:r>
    </w:p>
    <w:p w:rsidR="00000000" w:rsidRPr="00EB1435" w:rsidP="00EB1435">
      <w:pPr>
        <w:pStyle w:val="ListBullet"/>
      </w:pPr>
      <w:r w:rsidRPr="00EB1435">
        <w:t>Commonwealth and State or Territory legal and ethical considerations for client assessment:</w:t>
      </w:r>
    </w:p>
    <w:p w:rsidR="00000000" w:rsidRPr="00EB1435" w:rsidP="00EB1435">
      <w:pPr>
        <w:pStyle w:val="ListBullet2"/>
      </w:pPr>
      <w:r w:rsidRPr="00EB1435">
        <w:t>codes of conduct</w:t>
      </w:r>
    </w:p>
    <w:p w:rsidR="00000000" w:rsidRPr="00EB1435" w:rsidP="00EB1435">
      <w:pPr>
        <w:pStyle w:val="ListBullet2"/>
      </w:pPr>
      <w:r w:rsidRPr="00EB1435">
        <w:t>duty of care</w:t>
      </w:r>
    </w:p>
    <w:p w:rsidR="00000000" w:rsidRPr="00EB1435" w:rsidP="00EB1435">
      <w:pPr>
        <w:pStyle w:val="ListBullet2"/>
      </w:pPr>
      <w:r w:rsidRPr="00EB1435">
        <w:t>informed consent</w:t>
      </w:r>
    </w:p>
    <w:p w:rsidR="00000000" w:rsidRPr="00EB1435" w:rsidP="00EB1435">
      <w:pPr>
        <w:pStyle w:val="ListBullet2"/>
      </w:pPr>
      <w:r w:rsidRPr="00EB1435">
        <w:t>mandatory reporting</w:t>
      </w:r>
    </w:p>
    <w:p w:rsidR="00000000" w:rsidRPr="00EB1435" w:rsidP="00EB1435">
      <w:pPr>
        <w:pStyle w:val="ListBullet2"/>
      </w:pPr>
      <w:r w:rsidRPr="00EB1435">
        <w:t>therapist and client boundaries</w:t>
      </w:r>
    </w:p>
    <w:p w:rsidR="00000000" w:rsidRPr="00EB1435" w:rsidP="00EB1435">
      <w:pPr>
        <w:pStyle w:val="ListBullet2"/>
      </w:pPr>
      <w:r w:rsidRPr="00EB1435">
        <w:t>privacy, confidentiality and disclosure</w:t>
      </w:r>
    </w:p>
    <w:p w:rsidR="00000000" w:rsidRPr="00EB1435" w:rsidP="00EB1435">
      <w:pPr>
        <w:pStyle w:val="ListBullet2"/>
      </w:pPr>
      <w:r w:rsidRPr="00EB1435">
        <w:t>records management</w:t>
      </w:r>
    </w:p>
    <w:p w:rsidR="00000000" w:rsidRPr="00EB1435" w:rsidP="00EB1435">
      <w:pPr>
        <w:pStyle w:val="ListBullet2"/>
      </w:pPr>
      <w:r w:rsidRPr="00EB1435">
        <w:t>work role boundaries:</w:t>
      </w:r>
    </w:p>
    <w:p w:rsidR="00000000" w:rsidRPr="00EB1435" w:rsidP="00EB1435">
      <w:pPr>
        <w:pStyle w:val="ListBullet3"/>
      </w:pPr>
      <w:r w:rsidRPr="00EB1435">
        <w:t>working within scope of practice</w:t>
      </w:r>
    </w:p>
    <w:p w:rsidR="00000000" w:rsidRPr="00EB1435" w:rsidP="00EB1435">
      <w:pPr>
        <w:pStyle w:val="ListBullet3"/>
      </w:pPr>
      <w:r w:rsidRPr="00EB1435">
        <w:t>presenting symptoms that require referral to a medical practitioner</w:t>
      </w:r>
    </w:p>
    <w:p w:rsidR="00000000" w:rsidRPr="00EB1435" w:rsidP="00EB1435">
      <w:pPr>
        <w:pStyle w:val="ListBullet2"/>
      </w:pPr>
      <w:r w:rsidRPr="00EB1435">
        <w:t>work health and safety</w:t>
      </w:r>
    </w:p>
    <w:p w:rsidR="00000000" w:rsidRPr="00EB1435" w:rsidP="00EB1435">
      <w:pPr>
        <w:pStyle w:val="ListBullet"/>
      </w:pPr>
      <w:r w:rsidRPr="00EB1435">
        <w:t>health care options for massage clients:</w:t>
      </w:r>
    </w:p>
    <w:p w:rsidR="00000000" w:rsidRPr="00EB1435" w:rsidP="00EB1435">
      <w:pPr>
        <w:pStyle w:val="ListBullet2"/>
      </w:pPr>
      <w:r w:rsidRPr="00EB1435">
        <w:t>allied health services and other health modalities</w:t>
      </w:r>
    </w:p>
    <w:p w:rsidR="00000000" w:rsidRPr="00EB1435" w:rsidP="00EB1435">
      <w:pPr>
        <w:pStyle w:val="ListBullet2"/>
      </w:pPr>
      <w:r w:rsidRPr="00EB1435">
        <w:t xml:space="preserve">community resources and support services </w:t>
      </w:r>
    </w:p>
    <w:p w:rsidR="00000000" w:rsidRPr="00EB1435" w:rsidP="00EB1435">
      <w:pPr>
        <w:pStyle w:val="ListBullet"/>
      </w:pPr>
      <w:r w:rsidRPr="00EB1435">
        <w:t>factors and barriers that may impact on massage assessment:</w:t>
      </w:r>
    </w:p>
    <w:p w:rsidR="00000000" w:rsidRPr="00EB1435" w:rsidP="00EB1435">
      <w:pPr>
        <w:pStyle w:val="ListBullet2"/>
      </w:pPr>
      <w:r w:rsidRPr="00EB1435">
        <w:t>physical</w:t>
      </w:r>
    </w:p>
    <w:p w:rsidR="00000000" w:rsidRPr="00EB1435" w:rsidP="00EB1435">
      <w:pPr>
        <w:pStyle w:val="ListBullet2"/>
      </w:pPr>
      <w:r w:rsidRPr="00EB1435">
        <w:t>psychological</w:t>
      </w:r>
    </w:p>
    <w:p w:rsidR="00000000" w:rsidRPr="00EB1435" w:rsidP="00EB1435">
      <w:pPr>
        <w:pStyle w:val="ListBullet2"/>
      </w:pPr>
      <w:r w:rsidRPr="00EB1435">
        <w:t>cultural</w:t>
      </w:r>
    </w:p>
    <w:p w:rsidR="00000000" w:rsidRPr="00EB1435" w:rsidP="00EB1435">
      <w:pPr>
        <w:pStyle w:val="ListBullet"/>
      </w:pPr>
      <w:r w:rsidRPr="00EB1435">
        <w:t>factors that affect individual health status:</w:t>
      </w:r>
    </w:p>
    <w:p w:rsidR="00000000" w:rsidRPr="00EB1435" w:rsidP="00EB1435">
      <w:pPr>
        <w:pStyle w:val="ListBullet2"/>
      </w:pPr>
      <w:r w:rsidRPr="00EB1435">
        <w:t>age</w:t>
      </w:r>
    </w:p>
    <w:p w:rsidR="00000000" w:rsidRPr="00EB1435" w:rsidP="00EB1435">
      <w:pPr>
        <w:pStyle w:val="ListBullet2"/>
      </w:pPr>
      <w:r w:rsidRPr="00EB1435">
        <w:t>gender</w:t>
      </w:r>
    </w:p>
    <w:p w:rsidR="00000000" w:rsidRPr="00EB1435" w:rsidP="00EB1435">
      <w:pPr>
        <w:pStyle w:val="ListBullet2"/>
      </w:pPr>
      <w:r w:rsidRPr="00EB1435">
        <w:t>lifestyle risk factors</w:t>
      </w:r>
    </w:p>
    <w:p w:rsidR="00000000" w:rsidRPr="00EB1435" w:rsidP="00EB1435">
      <w:pPr>
        <w:pStyle w:val="ListBullet2"/>
      </w:pPr>
      <w:r w:rsidRPr="00EB1435">
        <w:t>personal and medical history:</w:t>
      </w:r>
    </w:p>
    <w:p w:rsidR="00000000" w:rsidRPr="00EB1435" w:rsidP="00EB1435">
      <w:pPr>
        <w:pStyle w:val="ListBullet3"/>
      </w:pPr>
      <w:r w:rsidRPr="00EB1435">
        <w:t>comorbidities</w:t>
      </w:r>
    </w:p>
    <w:p w:rsidR="00000000" w:rsidRPr="00EB1435" w:rsidP="00EB1435">
      <w:pPr>
        <w:pStyle w:val="ListBullet3"/>
      </w:pPr>
      <w:r w:rsidRPr="00EB1435">
        <w:t>sequelae and progression of disease</w:t>
      </w:r>
    </w:p>
    <w:p w:rsidR="00000000" w:rsidRPr="00EB1435" w:rsidP="00EB1435">
      <w:pPr>
        <w:pStyle w:val="ListBullet3"/>
      </w:pPr>
      <w:r w:rsidRPr="00EB1435">
        <w:t>mental and emotional health</w:t>
      </w:r>
    </w:p>
    <w:p w:rsidR="00000000" w:rsidRPr="00EB1435" w:rsidP="00EB1435">
      <w:pPr>
        <w:pStyle w:val="ListBullet2"/>
      </w:pPr>
      <w:r w:rsidRPr="00EB1435">
        <w:t>values, attitudes and beliefs</w:t>
      </w:r>
    </w:p>
    <w:p w:rsidR="00000000" w:rsidRPr="00EB1435" w:rsidP="00EB1435">
      <w:pPr>
        <w:pStyle w:val="ListBullet2"/>
      </w:pPr>
      <w:r w:rsidRPr="00EB1435">
        <w:t>balance of rest, activity and sleep</w:t>
      </w:r>
    </w:p>
    <w:p w:rsidR="00000000" w:rsidRPr="00EB1435" w:rsidP="00EB1435">
      <w:pPr>
        <w:pStyle w:val="ListBullet2"/>
      </w:pPr>
      <w:r w:rsidRPr="00EB1435">
        <w:t>physical environment</w:t>
      </w:r>
    </w:p>
    <w:p w:rsidR="00000000" w:rsidRPr="00EB1435" w:rsidP="00EB1435">
      <w:pPr>
        <w:pStyle w:val="ListBullet2"/>
      </w:pPr>
      <w:r w:rsidRPr="00EB1435">
        <w:t>social environment</w:t>
      </w:r>
    </w:p>
    <w:p w:rsidR="00000000" w:rsidRPr="00EB1435" w:rsidP="00EB1435">
      <w:pPr>
        <w:pStyle w:val="ListBullet2"/>
      </w:pPr>
      <w:r w:rsidRPr="00EB1435">
        <w:t>social determinants of health</w:t>
      </w:r>
    </w:p>
    <w:p w:rsidR="00000000" w:rsidRPr="00EB1435" w:rsidP="00EB1435">
      <w:pPr>
        <w:pStyle w:val="ListBullet"/>
      </w:pPr>
      <w:r w:rsidRPr="00EB1435">
        <w:t>client information required prior to assessment:</w:t>
      </w:r>
    </w:p>
    <w:p w:rsidR="00000000" w:rsidRPr="00EB1435" w:rsidP="00EB1435">
      <w:pPr>
        <w:pStyle w:val="ListBullet2"/>
      </w:pPr>
      <w:r w:rsidRPr="00EB1435">
        <w:t>case history:</w:t>
      </w:r>
    </w:p>
    <w:p w:rsidR="00000000" w:rsidRPr="00EB1435" w:rsidP="00EB1435">
      <w:pPr>
        <w:pStyle w:val="ListBullet3"/>
      </w:pPr>
      <w:r w:rsidRPr="00EB1435">
        <w:t>physical health</w:t>
      </w:r>
    </w:p>
    <w:p w:rsidR="00000000" w:rsidRPr="00EB1435" w:rsidP="00EB1435">
      <w:pPr>
        <w:pStyle w:val="ListBullet3"/>
      </w:pPr>
      <w:r w:rsidRPr="00EB1435">
        <w:t>mental and emotional health</w:t>
      </w:r>
    </w:p>
    <w:p w:rsidR="00000000" w:rsidRPr="00EB1435" w:rsidP="00EB1435">
      <w:pPr>
        <w:pStyle w:val="ListBullet2"/>
      </w:pPr>
      <w:r w:rsidRPr="00EB1435">
        <w:t>client expectations:</w:t>
      </w:r>
    </w:p>
    <w:p w:rsidR="00000000" w:rsidRPr="00EB1435" w:rsidP="00EB1435">
      <w:pPr>
        <w:pStyle w:val="ListBullet3"/>
      </w:pPr>
      <w:r w:rsidRPr="00EB1435">
        <w:t>methods to clarify</w:t>
      </w:r>
    </w:p>
    <w:p w:rsidR="00000000" w:rsidRPr="00EB1435" w:rsidP="00EB1435">
      <w:pPr>
        <w:pStyle w:val="ListBullet3"/>
      </w:pPr>
      <w:r w:rsidRPr="00EB1435">
        <w:t>managing</w:t>
      </w:r>
    </w:p>
    <w:p w:rsidR="00000000" w:rsidRPr="00EB1435" w:rsidP="00EB1435">
      <w:pPr>
        <w:pStyle w:val="ListBullet"/>
      </w:pPr>
      <w:r w:rsidRPr="00EB1435">
        <w:t>considerations for performing massage assessments:</w:t>
      </w:r>
    </w:p>
    <w:p w:rsidR="00000000" w:rsidRPr="00EB1435" w:rsidP="00EB1435">
      <w:pPr>
        <w:pStyle w:val="ListBullet2"/>
      </w:pPr>
      <w:r w:rsidRPr="00EB1435">
        <w:t>environment</w:t>
      </w:r>
    </w:p>
    <w:p w:rsidR="00000000" w:rsidRPr="00EB1435" w:rsidP="00EB1435">
      <w:pPr>
        <w:pStyle w:val="ListBullet2"/>
      </w:pPr>
      <w:r w:rsidRPr="00EB1435">
        <w:t>equipment</w:t>
      </w:r>
    </w:p>
    <w:p w:rsidR="00000000" w:rsidRPr="00EB1435" w:rsidP="00EB1435">
      <w:pPr>
        <w:pStyle w:val="ListBullet2"/>
      </w:pPr>
      <w:r w:rsidRPr="00EB1435">
        <w:t>client privacy</w:t>
      </w:r>
    </w:p>
    <w:p w:rsidR="00000000" w:rsidRPr="00EB1435" w:rsidP="00EB1435">
      <w:pPr>
        <w:pStyle w:val="ListBullet2"/>
      </w:pPr>
      <w:r w:rsidRPr="00EB1435">
        <w:t>client instructions</w:t>
      </w:r>
    </w:p>
    <w:p w:rsidR="00000000" w:rsidRPr="00EB1435" w:rsidP="00EB1435">
      <w:pPr>
        <w:pStyle w:val="ListBullet"/>
      </w:pPr>
      <w:r w:rsidRPr="00EB1435">
        <w:t>assessment methods, how and when they are used:</w:t>
      </w:r>
    </w:p>
    <w:p w:rsidR="00000000" w:rsidRPr="00EB1435" w:rsidP="00EB1435">
      <w:pPr>
        <w:pStyle w:val="ListBullet2"/>
      </w:pPr>
      <w:r w:rsidRPr="00EB1435">
        <w:t>palpation</w:t>
      </w:r>
    </w:p>
    <w:p w:rsidR="00000000" w:rsidRPr="00EB1435" w:rsidP="00EB1435">
      <w:pPr>
        <w:pStyle w:val="ListBullet2"/>
      </w:pPr>
      <w:r w:rsidRPr="00EB1435">
        <w:t>observation</w:t>
      </w:r>
    </w:p>
    <w:p w:rsidR="00000000" w:rsidRPr="00EB1435" w:rsidP="00EB1435">
      <w:pPr>
        <w:pStyle w:val="ListBullet2"/>
      </w:pPr>
      <w:r w:rsidRPr="00EB1435">
        <w:t>listening</w:t>
      </w:r>
    </w:p>
    <w:p w:rsidR="00000000" w:rsidRPr="00EB1435" w:rsidP="00EB1435">
      <w:pPr>
        <w:pStyle w:val="ListBullet"/>
      </w:pPr>
      <w:r w:rsidRPr="00EB1435">
        <w:t>cautions and contraindications to treatment and possible indications for referral:</w:t>
      </w:r>
    </w:p>
    <w:p w:rsidR="00000000" w:rsidRPr="00EB1435" w:rsidP="00EB1435">
      <w:pPr>
        <w:pStyle w:val="ListBullet2"/>
      </w:pPr>
      <w:r w:rsidRPr="00EB1435">
        <w:t>weak bone and joint instability</w:t>
      </w:r>
    </w:p>
    <w:p w:rsidR="00000000" w:rsidRPr="00EB1435" w:rsidP="00EB1435">
      <w:pPr>
        <w:pStyle w:val="ListBullet2"/>
      </w:pPr>
      <w:r w:rsidRPr="00EB1435">
        <w:t>neurological dysfunction</w:t>
      </w:r>
    </w:p>
    <w:p w:rsidR="00000000" w:rsidRPr="00EB1435" w:rsidP="00EB1435">
      <w:pPr>
        <w:pStyle w:val="ListBullet2"/>
      </w:pPr>
      <w:r w:rsidRPr="00EB1435">
        <w:t>vascular disorder</w:t>
      </w:r>
    </w:p>
    <w:p w:rsidR="00000000" w:rsidRPr="00EB1435" w:rsidP="00EB1435">
      <w:pPr>
        <w:pStyle w:val="ListBullet2"/>
      </w:pPr>
      <w:r w:rsidRPr="00EB1435">
        <w:t>symptoms outside of scope of practice</w:t>
      </w:r>
    </w:p>
    <w:p w:rsidR="00000000" w:rsidRPr="00EB1435" w:rsidP="00EB1435">
      <w:pPr>
        <w:pStyle w:val="ListBullet2"/>
      </w:pPr>
      <w:r w:rsidRPr="00EB1435">
        <w:t>excessive pain and abnormal responses to treatment</w:t>
      </w:r>
    </w:p>
    <w:p w:rsidR="00000000" w:rsidRPr="00EB1435" w:rsidP="00EB1435">
      <w:pPr>
        <w:pStyle w:val="ListBullet2"/>
      </w:pPr>
      <w:r w:rsidRPr="00EB1435">
        <w:t>protract</w:t>
      </w:r>
      <w:r w:rsidRPr="00EB1435">
        <w:t>ed pain</w:t>
      </w:r>
    </w:p>
    <w:p w:rsidR="00000000" w:rsidRPr="00EB1435" w:rsidP="00EB1435">
      <w:pPr>
        <w:pStyle w:val="ListBullet2"/>
      </w:pPr>
      <w:r w:rsidRPr="00EB1435">
        <w:t>non-reproducible pain</w:t>
      </w:r>
    </w:p>
    <w:p w:rsidR="00000000" w:rsidRPr="00EB1435" w:rsidP="00EB1435">
      <w:pPr>
        <w:pStyle w:val="ListBullet2"/>
      </w:pPr>
      <w:r w:rsidRPr="00EB1435">
        <w:t>fatigue</w:t>
      </w:r>
    </w:p>
    <w:p w:rsidR="00000000" w:rsidRPr="00EB1435" w:rsidP="00EB1435">
      <w:pPr>
        <w:pStyle w:val="ListBullet2"/>
      </w:pPr>
      <w:r w:rsidRPr="00EB1435">
        <w:t>circulatory disorder</w:t>
      </w:r>
    </w:p>
    <w:p w:rsidR="00000000" w:rsidRPr="00EB1435" w:rsidP="00EB1435">
      <w:pPr>
        <w:pStyle w:val="ListBullet2"/>
      </w:pPr>
      <w:r w:rsidRPr="00EB1435">
        <w:t>inflammation</w:t>
      </w:r>
    </w:p>
    <w:p w:rsidR="00000000" w:rsidRPr="00EB1435" w:rsidP="00EB1435">
      <w:pPr>
        <w:pStyle w:val="ListBullet2"/>
      </w:pPr>
      <w:r w:rsidRPr="00EB1435">
        <w:t>lumps and tissue changes</w:t>
      </w:r>
    </w:p>
    <w:p w:rsidR="00000000" w:rsidRPr="00EB1435" w:rsidP="00EB1435">
      <w:pPr>
        <w:pStyle w:val="ListBullet2"/>
      </w:pPr>
      <w:r w:rsidRPr="00EB1435">
        <w:t>rashes and changes in the skin</w:t>
      </w:r>
    </w:p>
    <w:p w:rsidR="00000000" w:rsidRPr="00EB1435" w:rsidP="00EB1435">
      <w:pPr>
        <w:pStyle w:val="ListBullet2"/>
      </w:pPr>
      <w:r w:rsidRPr="00EB1435">
        <w:t>oedema</w:t>
      </w:r>
    </w:p>
    <w:p w:rsidR="00000000" w:rsidRPr="00EB1435" w:rsidP="00EB1435">
      <w:pPr>
        <w:pStyle w:val="ListBullet2"/>
      </w:pPr>
      <w:r w:rsidRPr="00EB1435">
        <w:t>sudden changes in mood</w:t>
      </w:r>
    </w:p>
    <w:p w:rsidR="00000000" w:rsidRPr="00EB1435" w:rsidP="00EB1435">
      <w:pPr>
        <w:pStyle w:val="ListBullet2"/>
      </w:pPr>
      <w:r w:rsidRPr="00EB1435">
        <w:t>infection</w:t>
      </w:r>
    </w:p>
    <w:p w:rsidR="00000000" w:rsidRPr="00EB1435" w:rsidP="00EB1435">
      <w:pPr>
        <w:pStyle w:val="ListBullet2"/>
      </w:pPr>
      <w:r w:rsidRPr="00EB1435">
        <w:t>changes in appetite, elimination and sleep habits</w:t>
      </w:r>
    </w:p>
    <w:p w:rsidR="00000000" w:rsidRPr="00EB1435" w:rsidP="00EB1435">
      <w:pPr>
        <w:pStyle w:val="ListBullet2"/>
      </w:pPr>
      <w:r w:rsidRPr="00EB1435">
        <w:t>bleeding and bruising</w:t>
      </w:r>
    </w:p>
    <w:p w:rsidR="00000000" w:rsidRPr="00EB1435" w:rsidP="00EB1435">
      <w:pPr>
        <w:pStyle w:val="ListBullet2"/>
      </w:pPr>
      <w:r w:rsidRPr="00EB1435">
        <w:t>nausea, vomiting and diarrhoea</w:t>
      </w:r>
    </w:p>
    <w:p w:rsidR="00000000" w:rsidRPr="00EB1435" w:rsidP="00EB1435">
      <w:pPr>
        <w:pStyle w:val="ListBullet2"/>
      </w:pPr>
      <w:r w:rsidRPr="00EB1435">
        <w:t>recent changes in body temperature</w:t>
      </w:r>
    </w:p>
    <w:p w:rsidR="00000000" w:rsidRPr="00EB1435" w:rsidP="00EB1435">
      <w:pPr>
        <w:pStyle w:val="ListBullet"/>
      </w:pPr>
      <w:r w:rsidRPr="00EB1435">
        <w:t>major muscle anatomy:</w:t>
      </w:r>
    </w:p>
    <w:p w:rsidR="00000000" w:rsidRPr="00EB1435" w:rsidP="00EB1435">
      <w:pPr>
        <w:pStyle w:val="ListBullet2"/>
      </w:pPr>
      <w:r w:rsidRPr="00EB1435">
        <w:t>surface anatomy</w:t>
      </w:r>
    </w:p>
    <w:p w:rsidR="00000000" w:rsidRPr="00EB1435" w:rsidP="00EB1435">
      <w:pPr>
        <w:pStyle w:val="ListBullet2"/>
      </w:pPr>
      <w:r w:rsidRPr="00EB1435">
        <w:t>palpable bony landmarks</w:t>
      </w:r>
    </w:p>
    <w:p w:rsidR="00000000" w:rsidRPr="00EB1435" w:rsidP="00EB1435">
      <w:pPr>
        <w:pStyle w:val="ListBullet2"/>
      </w:pPr>
      <w:r w:rsidRPr="00EB1435">
        <w:t>actions of individual muscles and muscle groups:</w:t>
      </w:r>
    </w:p>
    <w:p w:rsidR="00000000" w:rsidRPr="00EB1435" w:rsidP="00EB1435">
      <w:pPr>
        <w:pStyle w:val="ListBullet3"/>
      </w:pPr>
      <w:r w:rsidRPr="00EB1435">
        <w:t>temporalis</w:t>
      </w:r>
    </w:p>
    <w:p w:rsidR="00000000" w:rsidRPr="00EB1435" w:rsidP="00EB1435">
      <w:pPr>
        <w:pStyle w:val="ListBullet3"/>
      </w:pPr>
      <w:r w:rsidRPr="00EB1435">
        <w:t>masseter</w:t>
      </w:r>
    </w:p>
    <w:p w:rsidR="00000000" w:rsidRPr="00EB1435" w:rsidP="00EB1435">
      <w:pPr>
        <w:pStyle w:val="ListBullet3"/>
      </w:pPr>
      <w:r w:rsidRPr="00EB1435">
        <w:t>frontalis</w:t>
      </w:r>
    </w:p>
    <w:p w:rsidR="00000000" w:rsidRPr="00EB1435" w:rsidP="00EB1435">
      <w:pPr>
        <w:pStyle w:val="ListBullet3"/>
      </w:pPr>
      <w:r w:rsidRPr="00EB1435">
        <w:t>sternocleidomastoid</w:t>
      </w:r>
    </w:p>
    <w:p w:rsidR="00000000" w:rsidRPr="00EB1435" w:rsidP="00EB1435">
      <w:pPr>
        <w:pStyle w:val="ListBullet3"/>
      </w:pPr>
      <w:r w:rsidRPr="00EB1435">
        <w:t>trapezius</w:t>
      </w:r>
    </w:p>
    <w:p w:rsidR="00000000" w:rsidRPr="00EB1435" w:rsidP="00EB1435">
      <w:pPr>
        <w:pStyle w:val="ListBullet3"/>
      </w:pPr>
      <w:r w:rsidRPr="00EB1435">
        <w:t>levator scapulae</w:t>
      </w:r>
    </w:p>
    <w:p w:rsidR="00000000" w:rsidRPr="00EB1435" w:rsidP="00EB1435">
      <w:pPr>
        <w:pStyle w:val="ListBullet3"/>
      </w:pPr>
      <w:r w:rsidRPr="00EB1435">
        <w:t>latissimus dorsi</w:t>
      </w:r>
    </w:p>
    <w:p w:rsidR="00000000" w:rsidRPr="00EB1435" w:rsidP="00EB1435">
      <w:pPr>
        <w:pStyle w:val="ListBullet3"/>
      </w:pPr>
      <w:r w:rsidRPr="00EB1435">
        <w:t>teres major</w:t>
      </w:r>
    </w:p>
    <w:p w:rsidR="00000000" w:rsidRPr="00EB1435" w:rsidP="00EB1435">
      <w:pPr>
        <w:pStyle w:val="ListBullet3"/>
      </w:pPr>
      <w:r w:rsidRPr="00EB1435">
        <w:t>rotator cuff</w:t>
      </w:r>
    </w:p>
    <w:p w:rsidR="00000000" w:rsidRPr="00EB1435" w:rsidP="00EB1435">
      <w:pPr>
        <w:pStyle w:val="ListBullet3"/>
      </w:pPr>
      <w:r w:rsidRPr="00EB1435">
        <w:t>rhomboids</w:t>
      </w:r>
    </w:p>
    <w:p w:rsidR="00000000" w:rsidRPr="00EB1435" w:rsidP="00EB1435">
      <w:pPr>
        <w:pStyle w:val="ListBullet3"/>
      </w:pPr>
      <w:r w:rsidRPr="00EB1435">
        <w:t>erector spinae</w:t>
      </w:r>
    </w:p>
    <w:p w:rsidR="00000000" w:rsidRPr="00EB1435" w:rsidP="00EB1435">
      <w:pPr>
        <w:pStyle w:val="ListBullet3"/>
      </w:pPr>
      <w:r w:rsidRPr="00EB1435">
        <w:t>quadratus lumborum</w:t>
      </w:r>
    </w:p>
    <w:p w:rsidR="00000000" w:rsidRPr="00EB1435" w:rsidP="00EB1435">
      <w:pPr>
        <w:pStyle w:val="ListBullet3"/>
      </w:pPr>
      <w:r w:rsidRPr="00EB1435">
        <w:t>pectoral</w:t>
      </w:r>
    </w:p>
    <w:p w:rsidR="00000000" w:rsidRPr="00EB1435" w:rsidP="00EB1435">
      <w:pPr>
        <w:pStyle w:val="ListBullet3"/>
      </w:pPr>
      <w:r w:rsidRPr="00EB1435">
        <w:t>abdominal</w:t>
      </w:r>
    </w:p>
    <w:p w:rsidR="00000000" w:rsidRPr="00EB1435" w:rsidP="00EB1435">
      <w:pPr>
        <w:pStyle w:val="ListBullet3"/>
      </w:pPr>
      <w:r w:rsidRPr="00EB1435">
        <w:t>hip flexors</w:t>
      </w:r>
    </w:p>
    <w:p w:rsidR="00000000" w:rsidRPr="00EB1435" w:rsidP="00EB1435">
      <w:pPr>
        <w:pStyle w:val="ListBullet3"/>
      </w:pPr>
      <w:r w:rsidRPr="00EB1435">
        <w:t>gluteal</w:t>
      </w:r>
    </w:p>
    <w:p w:rsidR="00000000" w:rsidRPr="00EB1435" w:rsidP="00EB1435">
      <w:pPr>
        <w:pStyle w:val="ListBullet3"/>
      </w:pPr>
      <w:r w:rsidRPr="00EB1435">
        <w:t>quadriceps</w:t>
      </w:r>
    </w:p>
    <w:p w:rsidR="00000000" w:rsidRPr="00EB1435" w:rsidP="00EB1435">
      <w:pPr>
        <w:pStyle w:val="ListBullet3"/>
      </w:pPr>
      <w:r w:rsidRPr="00EB1435">
        <w:t>hamstrings</w:t>
      </w:r>
    </w:p>
    <w:p w:rsidR="00000000" w:rsidRPr="00EB1435" w:rsidP="00EB1435">
      <w:pPr>
        <w:pStyle w:val="ListBullet3"/>
      </w:pPr>
      <w:r w:rsidRPr="00EB1435">
        <w:t>adductor</w:t>
      </w:r>
    </w:p>
    <w:p w:rsidR="00000000" w:rsidRPr="00EB1435" w:rsidP="00EB1435">
      <w:pPr>
        <w:pStyle w:val="ListBullet3"/>
      </w:pPr>
      <w:r w:rsidRPr="00EB1435">
        <w:t>calf including anterior and posterior</w:t>
      </w:r>
    </w:p>
    <w:p w:rsidR="00000000" w:rsidRPr="00EB1435" w:rsidP="00EB1435">
      <w:pPr>
        <w:pStyle w:val="ListBullet3"/>
      </w:pPr>
      <w:r w:rsidRPr="00EB1435">
        <w:t>deltoid</w:t>
      </w:r>
    </w:p>
    <w:p w:rsidR="00000000" w:rsidRPr="00EB1435" w:rsidP="00EB1435">
      <w:pPr>
        <w:pStyle w:val="ListBullet3"/>
      </w:pPr>
      <w:r w:rsidRPr="00EB1435">
        <w:t>elbow extensors and flexors</w:t>
      </w:r>
    </w:p>
    <w:p w:rsidR="00000000" w:rsidRPr="00EB1435" w:rsidP="00EB1435">
      <w:pPr>
        <w:pStyle w:val="ListBullet3"/>
      </w:pPr>
      <w:r w:rsidRPr="00EB1435">
        <w:t>wrist extensors and flexors</w:t>
      </w:r>
    </w:p>
    <w:p w:rsidR="00000000" w:rsidRPr="00EB1435" w:rsidP="00EB1435">
      <w:pPr>
        <w:pStyle w:val="ListBullet3"/>
      </w:pPr>
      <w:r w:rsidRPr="00EB1435">
        <w:t>forearm pronators and supinators</w:t>
      </w:r>
    </w:p>
    <w:p w:rsidR="00000000" w:rsidRPr="00EB1435" w:rsidP="00EB1435">
      <w:pPr>
        <w:pStyle w:val="ListBullet2"/>
      </w:pPr>
      <w:r w:rsidRPr="00EB1435">
        <w:t>skeleton:</w:t>
      </w:r>
    </w:p>
    <w:p w:rsidR="00000000" w:rsidRPr="00EB1435" w:rsidP="00EB1435">
      <w:pPr>
        <w:pStyle w:val="ListBullet3"/>
      </w:pPr>
      <w:r w:rsidRPr="00EB1435">
        <w:t>bones of the body</w:t>
      </w:r>
    </w:p>
    <w:p w:rsidR="00000000" w:rsidRPr="00EB1435" w:rsidP="00EB1435">
      <w:pPr>
        <w:pStyle w:val="ListBullet3"/>
      </w:pPr>
      <w:r w:rsidRPr="00EB1435">
        <w:t>major bony landmarks</w:t>
      </w:r>
    </w:p>
    <w:p w:rsidR="00000000" w:rsidRPr="00EB1435" w:rsidP="00EB1435">
      <w:pPr>
        <w:pStyle w:val="ListBullet3"/>
      </w:pPr>
      <w:r w:rsidRPr="00EB1435">
        <w:t>surface anatomy and palpable bony landmarks</w:t>
      </w:r>
    </w:p>
    <w:p w:rsidR="00000000" w:rsidRPr="00EB1435" w:rsidP="00EB1435">
      <w:pPr>
        <w:pStyle w:val="ListBullet2"/>
      </w:pPr>
      <w:r w:rsidRPr="00EB1435">
        <w:t>joints:</w:t>
      </w:r>
    </w:p>
    <w:p w:rsidR="00000000" w:rsidRPr="00EB1435" w:rsidP="00EB1435">
      <w:pPr>
        <w:pStyle w:val="ListBullet3"/>
      </w:pPr>
      <w:r w:rsidRPr="00EB1435">
        <w:t>synovial</w:t>
      </w:r>
    </w:p>
    <w:p w:rsidR="00000000" w:rsidRPr="00EB1435" w:rsidP="00EB1435">
      <w:pPr>
        <w:pStyle w:val="ListBullet3"/>
      </w:pPr>
      <w:r w:rsidRPr="00EB1435">
        <w:t>actions</w:t>
      </w:r>
    </w:p>
    <w:p w:rsidR="00000000" w:rsidRPr="00EB1435" w:rsidP="00EB1435">
      <w:pPr>
        <w:pStyle w:val="ListBullet"/>
      </w:pPr>
      <w:r w:rsidRPr="00EB1435">
        <w:t>physiology:</w:t>
      </w:r>
    </w:p>
    <w:p w:rsidR="00000000" w:rsidRPr="00EB1435" w:rsidP="00EB1435">
      <w:pPr>
        <w:pStyle w:val="ListBullet2"/>
      </w:pPr>
      <w:r w:rsidRPr="00EB1435">
        <w:t>soft tissue:</w:t>
      </w:r>
    </w:p>
    <w:p w:rsidR="00000000" w:rsidRPr="00EB1435" w:rsidP="00EB1435">
      <w:pPr>
        <w:pStyle w:val="ListBullet3"/>
      </w:pPr>
      <w:r w:rsidRPr="00EB1435">
        <w:t>muscle contraction</w:t>
      </w:r>
    </w:p>
    <w:p w:rsidR="00000000" w:rsidRPr="00EB1435" w:rsidP="00EB1435">
      <w:pPr>
        <w:pStyle w:val="ListBullet3"/>
      </w:pPr>
      <w:r w:rsidRPr="00EB1435">
        <w:t>muscle physiology including reflexes, chemistry and proprioceptors</w:t>
      </w:r>
    </w:p>
    <w:p w:rsidR="00000000" w:rsidRPr="00EB1435" w:rsidP="00EB1435">
      <w:pPr>
        <w:pStyle w:val="ListBullet3"/>
      </w:pPr>
      <w:r w:rsidRPr="00EB1435">
        <w:t>tendons and ligaments</w:t>
      </w:r>
    </w:p>
    <w:p w:rsidR="00000000" w:rsidRPr="00EB1435" w:rsidP="00EB1435">
      <w:pPr>
        <w:pStyle w:val="ListBullet3"/>
      </w:pPr>
      <w:r w:rsidRPr="00EB1435">
        <w:t>fascia</w:t>
      </w:r>
    </w:p>
    <w:p w:rsidR="00000000" w:rsidRPr="00EB1435" w:rsidP="00EB1435">
      <w:pPr>
        <w:pStyle w:val="ListBullet2"/>
      </w:pPr>
      <w:r w:rsidRPr="00EB1435">
        <w:t>signs of cautions and contraindications:</w:t>
      </w:r>
    </w:p>
    <w:p w:rsidR="00000000" w:rsidRPr="00EB1435" w:rsidP="00EB1435">
      <w:pPr>
        <w:pStyle w:val="ListBullet3"/>
      </w:pPr>
      <w:r w:rsidRPr="00EB1435">
        <w:t>inflammation including cardinal signs</w:t>
      </w:r>
    </w:p>
    <w:p w:rsidR="00000000" w:rsidRPr="00EB1435" w:rsidP="00EB1435">
      <w:pPr>
        <w:pStyle w:val="ListBullet3"/>
      </w:pPr>
      <w:r w:rsidRPr="00EB1435">
        <w:t>injury including acute and chronic grades</w:t>
      </w:r>
    </w:p>
    <w:p w:rsidR="00000000" w:rsidRPr="00EB1435" w:rsidP="00EB1435">
      <w:pPr>
        <w:pStyle w:val="ListBullet3"/>
      </w:pPr>
      <w:r w:rsidRPr="00EB1435">
        <w:t>wound healing including stages</w:t>
      </w:r>
    </w:p>
    <w:p w:rsidR="00000000" w:rsidRPr="00EB1435" w:rsidP="00EB1435">
      <w:pPr>
        <w:pStyle w:val="ListBullet3"/>
      </w:pPr>
      <w:r w:rsidRPr="00EB1435">
        <w:t>pain t</w:t>
      </w:r>
      <w:r w:rsidRPr="00EB1435">
        <w:t>ypes</w:t>
      </w:r>
    </w:p>
    <w:p w:rsidR="00000000" w:rsidRPr="00EB1435" w:rsidP="00EB1435">
      <w:pPr>
        <w:pStyle w:val="ListBullet"/>
      </w:pPr>
      <w:r w:rsidRPr="00EB1435">
        <w:t>documentation requirements:</w:t>
      </w:r>
    </w:p>
    <w:p w:rsidR="00000000" w:rsidRPr="00EB1435" w:rsidP="00EB1435">
      <w:pPr>
        <w:pStyle w:val="ListBullet2"/>
      </w:pPr>
      <w:r w:rsidRPr="00EB1435">
        <w:t>accurate</w:t>
      </w:r>
    </w:p>
    <w:p w:rsidR="00000000" w:rsidRPr="00EB1435" w:rsidP="00EB1435">
      <w:pPr>
        <w:pStyle w:val="ListBullet2"/>
      </w:pPr>
      <w:r w:rsidRPr="00EB1435">
        <w:t>comprehensive</w:t>
      </w:r>
    </w:p>
    <w:p w:rsidR="00000000" w:rsidRPr="00EB1435" w:rsidP="00EB1435">
      <w:pPr>
        <w:pStyle w:val="ListBullet2"/>
      </w:pPr>
      <w:r w:rsidRPr="00EB1435">
        <w:t>legible</w:t>
      </w:r>
    </w:p>
    <w:p w:rsidR="00000000" w:rsidRPr="00EB1435" w:rsidP="00EB1435">
      <w:pPr>
        <w:pStyle w:val="ListBullet2"/>
      </w:pPr>
      <w:r w:rsidRPr="00EB1435">
        <w:t>in English</w:t>
      </w:r>
    </w:p>
    <w:p w:rsidR="00000000" w:rsidRPr="00EB1435" w:rsidP="00EB1435">
      <w:pPr>
        <w:pStyle w:val="ListBullet2"/>
      </w:pPr>
      <w:r w:rsidRPr="00EB1435">
        <w:t>using industry terminology and standard abbreviations.</w:t>
      </w:r>
    </w:p>
    <w:p w:rsidR="00000000" w:rsidRPr="00EB1435" w:rsidP="00EB1435">
      <w:pPr>
        <w:pStyle w:val="AllowPageBreak"/>
      </w:pPr>
    </w:p>
    <w:p w:rsidR="00000000" w:rsidRPr="00EB1435" w:rsidP="00EB1435">
      <w:pPr>
        <w:pStyle w:val="Heading1"/>
      </w:pPr>
      <w:bookmarkStart w:id="4" w:name="O_1234681"/>
      <w:bookmarkEnd w:id="4"/>
      <w:r w:rsidRPr="00EB1435">
        <w:t>Assessment Conditions</w:t>
      </w:r>
    </w:p>
    <w:p w:rsidR="00000000" w:rsidRPr="00EB1435" w:rsidP="0023736B">
      <w:pPr>
        <w:pStyle w:val="BodyText"/>
      </w:pPr>
      <w:r w:rsidRPr="00EB1435">
        <w:t>Skills must be demonstrated in a simulated clinical environment that reflects workplace conditions set up for the purpose of skills assessment.</w:t>
      </w:r>
    </w:p>
    <w:p w:rsidR="00000000" w:rsidRPr="00EB1435" w:rsidP="0023736B">
      <w:pPr>
        <w:pStyle w:val="BodyText"/>
      </w:pPr>
      <w:r w:rsidRPr="00EB1435">
        <w:t>Assessment must ensure access to:</w:t>
      </w:r>
    </w:p>
    <w:p w:rsidR="00000000" w:rsidRPr="00EB1435" w:rsidP="00EB1435">
      <w:pPr>
        <w:pStyle w:val="ListBullet"/>
      </w:pPr>
      <w:r w:rsidRPr="00EB1435">
        <w:t>client information including case history</w:t>
      </w:r>
    </w:p>
    <w:p w:rsidR="00000000" w:rsidRPr="00EB1435" w:rsidP="00EB1435">
      <w:pPr>
        <w:pStyle w:val="ListBullet"/>
      </w:pPr>
      <w:r w:rsidRPr="00EB1435">
        <w:t>treatment plan template</w:t>
      </w:r>
    </w:p>
    <w:p w:rsidR="00000000" w:rsidRPr="00EB1435" w:rsidP="00EB1435">
      <w:pPr>
        <w:pStyle w:val="ListBullet"/>
      </w:pPr>
      <w:r w:rsidRPr="00EB1435">
        <w:t>private con</w:t>
      </w:r>
      <w:r w:rsidRPr="00EB1435">
        <w:t>sultation area</w:t>
      </w:r>
    </w:p>
    <w:p w:rsidR="00000000" w:rsidRPr="00EB1435" w:rsidP="00EB1435">
      <w:pPr>
        <w:pStyle w:val="ListBullet"/>
      </w:pPr>
      <w:r w:rsidRPr="00EB1435">
        <w:t>adjustable height massage table</w:t>
      </w:r>
    </w:p>
    <w:p w:rsidR="00000000" w:rsidRPr="00EB1435" w:rsidP="00EB1435">
      <w:pPr>
        <w:pStyle w:val="ListBullet"/>
      </w:pPr>
      <w:r w:rsidRPr="00EB1435">
        <w:t>towels or sheets for draping</w:t>
      </w:r>
    </w:p>
    <w:p w:rsidR="00000000" w:rsidRPr="00EB1435" w:rsidP="00EB1435">
      <w:pPr>
        <w:pStyle w:val="ListBullet"/>
      </w:pPr>
      <w:r w:rsidRPr="00EB1435">
        <w:t>oils and balms</w:t>
      </w:r>
    </w:p>
    <w:p w:rsidR="00000000" w:rsidRPr="00EB1435" w:rsidP="00EB1435">
      <w:pPr>
        <w:pStyle w:val="ListBullet"/>
      </w:pPr>
      <w:r w:rsidRPr="00EB1435">
        <w:t>bolsters</w:t>
      </w:r>
    </w:p>
    <w:p w:rsidR="00000000" w:rsidRPr="00EB1435" w:rsidP="00EB1435">
      <w:pPr>
        <w:pStyle w:val="ListBullet"/>
      </w:pPr>
      <w:r w:rsidRPr="00EB1435">
        <w:t>hand washing or hand sanitising facilities.</w:t>
      </w:r>
    </w:p>
    <w:p w:rsidR="00000000" w:rsidRPr="00EB1435" w:rsidP="0023736B">
      <w:pPr>
        <w:pStyle w:val="BodyText"/>
      </w:pPr>
      <w:r w:rsidRPr="00EB1435">
        <w:t>Assessors must satisfy the Standards for Registered Training Organisations’ requirements for assessors, and</w:t>
      </w:r>
    </w:p>
    <w:p w:rsidR="00000000" w:rsidRPr="00EB1435" w:rsidP="00EB1435">
      <w:pPr>
        <w:pStyle w:val="ListBullet"/>
      </w:pPr>
      <w:r w:rsidRPr="00EB1435">
        <w:t>have current clinical experience working as a remedial massage therapist, myotherapist or soft tissue therapist providing services to the general public, and</w:t>
      </w:r>
    </w:p>
    <w:p w:rsidR="00000000" w:rsidRPr="00EB1435" w:rsidP="00EB1435">
      <w:pPr>
        <w:pStyle w:val="ListBullet"/>
      </w:pPr>
      <w:r w:rsidRPr="00EB1435">
        <w:t>hold current practising membership of a relevant Australian professional body that represents reme</w:t>
      </w:r>
      <w:r w:rsidRPr="00EB1435">
        <w:t>dial massage therapists, myotherapists or soft tissue therapists.</w:t>
      </w:r>
    </w:p>
    <w:p w:rsidR="00000000" w:rsidRPr="00EB1435" w:rsidP="00EB1435">
      <w:pPr>
        <w:pStyle w:val="AllowPageBreak"/>
      </w:pPr>
    </w:p>
    <w:p w:rsidR="00000000" w:rsidRPr="00EB1435" w:rsidP="00EB1435">
      <w:pPr>
        <w:pStyle w:val="Heading1"/>
      </w:pPr>
      <w:bookmarkStart w:id="5" w:name="O_1234679"/>
      <w:bookmarkEnd w:id="5"/>
      <w:r w:rsidRPr="00EB1435">
        <w:t>Links</w:t>
      </w:r>
    </w:p>
    <w:p w:rsidR="00000000" w:rsidRPr="00EB1435" w:rsidP="0023736B">
      <w:pPr>
        <w:pStyle w:val="BodyText"/>
      </w:pPr>
      <w:r w:rsidRPr="00EB1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E789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B1435" w:rsidP="00EB1435"/>
    <w:sectPr w:rsidSect="00EB1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5" w:rsidRPr="0023736B" w:rsidP="00237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6B" w:rsidP="00EB1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36B" w:rsidP="00EB1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736B" w:rsidP="00EB1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435" w:rsidRPr="0023736B" w:rsidP="00237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6B" w:rsidRPr="002D2AF8" w:rsidP="00EB1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HLTMSG010 Assess client massage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3736B" w:rsidP="00EB1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4D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8EF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08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435"/>
  </w:style>
  <w:style w:type="character" w:customStyle="1" w:styleId="Heading1Char">
    <w:name w:val="Heading 1 Char"/>
    <w:basedOn w:val="DefaultParagraphFont"/>
    <w:link w:val="Heading1"/>
    <w:rsid w:val="00EB1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4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14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14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1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435"/>
    <w:rPr>
      <w:b/>
      <w:spacing w:val="0"/>
    </w:rPr>
  </w:style>
  <w:style w:type="paragraph" w:customStyle="1" w:styleId="SuperTitle">
    <w:name w:val="SuperTitle"/>
    <w:basedOn w:val="Title"/>
    <w:rsid w:val="00EB1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435"/>
    <w:rPr>
      <w:i/>
    </w:rPr>
  </w:style>
  <w:style w:type="paragraph" w:styleId="Caption">
    <w:name w:val="caption"/>
    <w:basedOn w:val="BodyText"/>
    <w:next w:val="Normal"/>
    <w:qFormat/>
    <w:rsid w:val="00EB1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435"/>
  </w:style>
  <w:style w:type="paragraph" w:styleId="TableofFigures">
    <w:name w:val="table of figures"/>
    <w:basedOn w:val="Normal"/>
    <w:next w:val="Normal"/>
    <w:semiHidden/>
    <w:rsid w:val="00EB1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4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1435"/>
    <w:rPr>
      <w:rFonts w:ascii="Wingdings" w:hAnsi="Wingdings"/>
    </w:rPr>
  </w:style>
  <w:style w:type="paragraph" w:customStyle="1" w:styleId="TableHeading">
    <w:name w:val="Table Heading"/>
    <w:basedOn w:val="HeadingBase"/>
    <w:rsid w:val="00EB1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435"/>
    <w:rPr>
      <w:color w:val="0033CC"/>
      <w:u w:val="none"/>
    </w:rPr>
  </w:style>
  <w:style w:type="paragraph" w:customStyle="1" w:styleId="BodyTextRight">
    <w:name w:val="Body Text Right"/>
    <w:basedOn w:val="BodyText"/>
    <w:rsid w:val="00EB1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4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435"/>
    <w:rPr>
      <w:sz w:val="32"/>
    </w:rPr>
  </w:style>
  <w:style w:type="paragraph" w:customStyle="1" w:styleId="HeadingProcedure">
    <w:name w:val="Heading Procedure"/>
    <w:basedOn w:val="HeadingBase"/>
    <w:next w:val="Normal"/>
    <w:rsid w:val="00EB1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435"/>
    <w:pPr>
      <w:spacing w:before="60" w:after="60"/>
    </w:pPr>
  </w:style>
  <w:style w:type="paragraph" w:styleId="ListContinue">
    <w:name w:val="List Continue"/>
    <w:basedOn w:val="List"/>
    <w:rsid w:val="00EB1435"/>
    <w:pPr>
      <w:ind w:firstLine="0"/>
    </w:pPr>
  </w:style>
  <w:style w:type="paragraph" w:customStyle="1" w:styleId="ListNote">
    <w:name w:val="List Note"/>
    <w:basedOn w:val="List"/>
    <w:rsid w:val="00EB1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435"/>
    <w:rPr>
      <w:rFonts w:ascii="Courier New" w:hAnsi="Courier New"/>
    </w:rPr>
  </w:style>
  <w:style w:type="paragraph" w:customStyle="1" w:styleId="NoteBullet">
    <w:name w:val="Note Bullet"/>
    <w:basedOn w:val="Note"/>
    <w:rsid w:val="00EB1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4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1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435"/>
    <w:rPr>
      <w:b/>
      <w:smallCaps/>
    </w:rPr>
  </w:style>
  <w:style w:type="paragraph" w:customStyle="1" w:styleId="TableListNumber">
    <w:name w:val="Table List Number"/>
    <w:basedOn w:val="ListNumber"/>
    <w:rsid w:val="00EB1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435"/>
    <w:pPr>
      <w:numPr>
        <w:numId w:val="10"/>
      </w:numPr>
    </w:pPr>
  </w:style>
  <w:style w:type="paragraph" w:customStyle="1" w:styleId="ListAlpha2">
    <w:name w:val="List Alpha 2"/>
    <w:basedOn w:val="List2"/>
    <w:rsid w:val="00EB1435"/>
    <w:pPr>
      <w:numPr>
        <w:numId w:val="9"/>
      </w:numPr>
    </w:pPr>
  </w:style>
  <w:style w:type="paragraph" w:styleId="List2">
    <w:name w:val="List 2"/>
    <w:basedOn w:val="BodyText"/>
    <w:rsid w:val="00EB1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4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14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1435"/>
    <w:pPr>
      <w:numPr>
        <w:numId w:val="5"/>
      </w:numPr>
    </w:pPr>
  </w:style>
  <w:style w:type="paragraph" w:styleId="ListContinue2">
    <w:name w:val="List Continue 2"/>
    <w:basedOn w:val="List2"/>
    <w:rsid w:val="00EB1435"/>
    <w:pPr>
      <w:ind w:firstLine="0"/>
    </w:pPr>
  </w:style>
  <w:style w:type="paragraph" w:styleId="ListContinue3">
    <w:name w:val="List Continue 3"/>
    <w:basedOn w:val="List3"/>
    <w:rsid w:val="00EB1435"/>
    <w:pPr>
      <w:ind w:left="1021" w:firstLine="0"/>
    </w:pPr>
  </w:style>
  <w:style w:type="paragraph" w:styleId="ListContinue4">
    <w:name w:val="List Continue 4"/>
    <w:basedOn w:val="List4"/>
    <w:rsid w:val="00EB1435"/>
    <w:pPr>
      <w:ind w:firstLine="0"/>
    </w:pPr>
  </w:style>
  <w:style w:type="paragraph" w:styleId="ListContinue5">
    <w:name w:val="List Continue 5"/>
    <w:basedOn w:val="List5"/>
    <w:rsid w:val="00EB1435"/>
    <w:pPr>
      <w:ind w:firstLine="0"/>
    </w:pPr>
  </w:style>
  <w:style w:type="paragraph" w:styleId="ListNumber3">
    <w:name w:val="List Number 3"/>
    <w:basedOn w:val="List3"/>
    <w:rsid w:val="00EB1435"/>
    <w:pPr>
      <w:numPr>
        <w:numId w:val="6"/>
      </w:numPr>
    </w:pPr>
  </w:style>
  <w:style w:type="paragraph" w:styleId="ListNumber4">
    <w:name w:val="List Number 4"/>
    <w:basedOn w:val="List4"/>
    <w:rsid w:val="00EB1435"/>
    <w:pPr>
      <w:numPr>
        <w:numId w:val="7"/>
      </w:numPr>
    </w:pPr>
  </w:style>
  <w:style w:type="paragraph" w:styleId="ListNumber5">
    <w:name w:val="List Number 5"/>
    <w:basedOn w:val="List5"/>
    <w:rsid w:val="00EB1435"/>
    <w:pPr>
      <w:numPr>
        <w:numId w:val="8"/>
      </w:numPr>
    </w:pPr>
  </w:style>
  <w:style w:type="paragraph" w:styleId="BlockText">
    <w:name w:val="Block Text"/>
    <w:basedOn w:val="Normal"/>
    <w:rsid w:val="00EB1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435"/>
    <w:rPr>
      <w:sz w:val="16"/>
      <w:vertAlign w:val="superscript"/>
    </w:rPr>
  </w:style>
  <w:style w:type="character" w:customStyle="1" w:styleId="Symbols">
    <w:name w:val="Symbols"/>
    <w:basedOn w:val="DefaultParagraphFont"/>
    <w:rsid w:val="00EB1435"/>
    <w:rPr>
      <w:rFonts w:ascii="Symbol" w:hAnsi="Symbol"/>
    </w:rPr>
  </w:style>
  <w:style w:type="character" w:customStyle="1" w:styleId="MenuOptions">
    <w:name w:val="Menu Options"/>
    <w:basedOn w:val="DefaultParagraphFont"/>
    <w:rsid w:val="00EB1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435"/>
    <w:rPr>
      <w:b/>
    </w:rPr>
  </w:style>
  <w:style w:type="character" w:customStyle="1" w:styleId="Underlined">
    <w:name w:val="Underlined"/>
    <w:basedOn w:val="DefaultParagraphFont"/>
    <w:rsid w:val="00EB1435"/>
    <w:rPr>
      <w:u w:val="single"/>
    </w:rPr>
  </w:style>
  <w:style w:type="paragraph" w:customStyle="1" w:styleId="TableBodyTextRight">
    <w:name w:val="Table Body Text Right"/>
    <w:basedOn w:val="TableBodyText"/>
    <w:rsid w:val="00EB1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435"/>
    <w:rPr>
      <w:sz w:val="18"/>
    </w:rPr>
  </w:style>
  <w:style w:type="paragraph" w:customStyle="1" w:styleId="BodySmallRight">
    <w:name w:val="Body Small Right"/>
    <w:basedOn w:val="BodyTextRight"/>
    <w:rsid w:val="00EB1435"/>
    <w:rPr>
      <w:sz w:val="18"/>
      <w:szCs w:val="18"/>
    </w:rPr>
  </w:style>
  <w:style w:type="paragraph" w:customStyle="1" w:styleId="MarginEdition">
    <w:name w:val="Margin Edition"/>
    <w:basedOn w:val="MarginNote"/>
    <w:rsid w:val="00EB1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435"/>
    <w:rPr>
      <w:sz w:val="2"/>
      <w:szCs w:val="2"/>
    </w:rPr>
  </w:style>
  <w:style w:type="character" w:customStyle="1" w:styleId="Small">
    <w:name w:val="Small"/>
    <w:basedOn w:val="DefaultParagraphFont"/>
    <w:rsid w:val="00EB1435"/>
    <w:rPr>
      <w:sz w:val="16"/>
    </w:rPr>
  </w:style>
  <w:style w:type="paragraph" w:customStyle="1" w:styleId="WideTable">
    <w:name w:val="Wide Table"/>
    <w:basedOn w:val="Normal"/>
    <w:rsid w:val="00EB1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435"/>
  </w:style>
  <w:style w:type="paragraph" w:styleId="Quote">
    <w:name w:val="Quote"/>
    <w:basedOn w:val="Heading1"/>
    <w:link w:val="QuoteChar"/>
    <w:qFormat/>
    <w:rsid w:val="00EB1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435"/>
    <w:pPr>
      <w:pageBreakBefore/>
    </w:pPr>
  </w:style>
  <w:style w:type="paragraph" w:customStyle="1" w:styleId="Border">
    <w:name w:val="Border"/>
    <w:basedOn w:val="Normal"/>
    <w:qFormat/>
    <w:rsid w:val="00EB1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435"/>
    <w:rPr>
      <w:u w:val="single"/>
    </w:rPr>
  </w:style>
  <w:style w:type="character" w:customStyle="1" w:styleId="BoldandItalics">
    <w:name w:val="Bold and Italics"/>
    <w:qFormat/>
    <w:rsid w:val="00EB1435"/>
    <w:rPr>
      <w:b/>
      <w:i/>
      <w:u w:val="none"/>
    </w:rPr>
  </w:style>
  <w:style w:type="paragraph" w:styleId="BalloonText">
    <w:name w:val="Balloon Text"/>
    <w:basedOn w:val="Normal"/>
    <w:link w:val="BalloonTextChar"/>
    <w:rsid w:val="00EB1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435"/>
    <w:pPr>
      <w:spacing w:before="0" w:after="0"/>
    </w:pPr>
  </w:style>
  <w:style w:type="paragraph" w:customStyle="1" w:styleId="BodyTextBold">
    <w:name w:val="Body Text Bold"/>
    <w:basedOn w:val="BodyText"/>
    <w:qFormat/>
    <w:rsid w:val="00EB1435"/>
    <w:rPr>
      <w:b/>
    </w:rPr>
  </w:style>
  <w:style w:type="character" w:styleId="Hyperlink">
    <w:name w:val="Hyperlink"/>
    <w:basedOn w:val="DefaultParagraphFont"/>
    <w:uiPriority w:val="99"/>
    <w:unhideWhenUsed/>
    <w:rsid w:val="00237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4292</Characters>
  <Application>Microsoft Office Word</Application>
  <DocSecurity>0</DocSecurity>
  <Lines>171</Lines>
  <Paragraphs>169</Paragraphs>
  <ScaleCrop>false</ScaleCrop>
  <Company>Author-it Software Corporation Ltd.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HLTMSG010 Assess client massage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