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6E" w:rsidP="0011136E">
      <w:pPr>
        <w:pStyle w:val="Title"/>
      </w:pPr>
      <w:r>
        <w:fldChar w:fldCharType="begin"/>
      </w:r>
      <w:r>
        <w:instrText xml:space="preserve"> TITLE   \* MERGEFORMAT </w:instrText>
      </w:r>
      <w:r>
        <w:fldChar w:fldCharType="separate"/>
      </w:r>
      <w:r>
        <w:t>HLTMSG002 Assess client massage needs</w:t>
      </w:r>
      <w:r>
        <w:fldChar w:fldCharType="end"/>
      </w:r>
    </w:p>
    <w:p w:rsidR="0011136E" w:rsidP="0011136E">
      <w:pPr>
        <w:pStyle w:val="Version"/>
        <w:sectPr w:rsidSect="00EF2A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A77" w:rsidP="00EF2A77">
      <w:pPr>
        <w:pStyle w:val="SuperHeading"/>
      </w:pPr>
      <w:r w:rsidRPr="00EF2A77">
        <w:t>HLTMSG002 Assess client massage needs</w:t>
      </w:r>
    </w:p>
    <w:p w:rsidR="00000000" w:rsidRPr="00EF2A77" w:rsidP="00EF2A77">
      <w:pPr>
        <w:pStyle w:val="Heading1"/>
      </w:pPr>
      <w:bookmarkStart w:id="1" w:name="O_656795"/>
      <w:bookmarkEnd w:id="1"/>
      <w:r w:rsidRPr="00EF2A77">
        <w:t>Modification History</w:t>
      </w:r>
    </w:p>
    <w:tbl>
      <w:tblPr>
        <w:tblW w:w="0" w:type="auto"/>
        <w:tblLayout w:type="fixed"/>
        <w:tblCellMar>
          <w:left w:w="62" w:type="dxa"/>
          <w:right w:w="62" w:type="dxa"/>
        </w:tblCellMar>
        <w:tblLook w:val="0000"/>
      </w:tblPr>
      <w:tblGrid>
        <w:gridCol w:w="2790"/>
        <w:gridCol w:w="6344"/>
      </w:tblGrid>
      <w:tr w:rsidTr="00EF2A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77" w:rsidP="00EF2A77">
            <w:pPr>
              <w:pStyle w:val="BodyText"/>
            </w:pPr>
            <w:r w:rsidRPr="00EF2A7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77">
            <w:pPr>
              <w:pStyle w:val="BodyText"/>
              <w:rPr>
                <w:lang w:val="en-NZ"/>
              </w:rPr>
            </w:pPr>
            <w:r w:rsidRPr="00EF2A77">
              <w:rPr>
                <w:rStyle w:val="SpecialBold"/>
              </w:rPr>
              <w:t>Comments</w:t>
            </w:r>
          </w:p>
        </w:tc>
      </w:tr>
      <w:tr w:rsidTr="00EF2A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77">
            <w:pPr>
              <w:pStyle w:val="BodyText"/>
              <w:rPr>
                <w:lang w:val="en-NZ"/>
              </w:rPr>
            </w:pPr>
            <w:r w:rsidRPr="00EF2A7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77" w:rsidP="00EF2A77">
            <w:pPr>
              <w:pStyle w:val="BodyText"/>
            </w:pPr>
            <w:r w:rsidRPr="00EF2A77">
              <w:t xml:space="preserve">This version was released in </w:t>
            </w:r>
            <w:r w:rsidRPr="00EF2A77">
              <w:rPr>
                <w:rStyle w:val="Emphasis"/>
              </w:rPr>
              <w:t>HLT Health Training Package release 2.0</w:t>
            </w:r>
            <w:r w:rsidRPr="00EF2A77">
              <w:t xml:space="preserve"> and meets the requirements of the 2012 Standards for Training Packages.</w:t>
            </w:r>
          </w:p>
          <w:p w:rsidR="00000000" w:rsidRPr="00EF2A77" w:rsidP="00EF2A77">
            <w:pPr>
              <w:pStyle w:val="BodyText"/>
            </w:pPr>
            <w:r w:rsidRPr="00EF2A77">
              <w:t>Merged HLTREM407C/HLTREM408C/HLTREM409C. Significant changes to th</w:t>
            </w:r>
            <w:r w:rsidRPr="00EF2A77">
              <w:t>e elements and performance criteria. New evidence requirements for assessment, including volume and frequency requirements. Significant change to knowledge evidence. Minimum clinic hours added. Additional assessor requirements.</w:t>
            </w:r>
          </w:p>
        </w:tc>
      </w:tr>
    </w:tbl>
    <w:p w:rsidR="00000000" w:rsidRPr="00EF2A77" w:rsidP="00EF2A77">
      <w:pPr>
        <w:pStyle w:val="BodyText"/>
      </w:pPr>
    </w:p>
    <w:p w:rsidR="00000000" w:rsidRPr="00EF2A77" w:rsidP="00EF2A77">
      <w:pPr>
        <w:pStyle w:val="AllowPageBreak"/>
      </w:pPr>
    </w:p>
    <w:p w:rsidR="00000000" w:rsidRPr="00EF2A77" w:rsidP="00EF2A77">
      <w:pPr>
        <w:pStyle w:val="Heading1"/>
      </w:pPr>
      <w:bookmarkStart w:id="2" w:name="O_656796"/>
      <w:bookmarkEnd w:id="2"/>
      <w:r w:rsidRPr="00EF2A77">
        <w:t>Applicati</w:t>
      </w:r>
      <w:r w:rsidRPr="00EF2A77">
        <w:t>on</w:t>
      </w:r>
    </w:p>
    <w:p w:rsidR="00000000" w:rsidRPr="00EF2A77" w:rsidP="0011136E">
      <w:pPr>
        <w:pStyle w:val="BodyText"/>
      </w:pPr>
      <w:r w:rsidRPr="00EF2A77">
        <w:t>This unit describes the skills and knowledge required to gather client information, make a physical assessment of the body and determine massage treatment options.</w:t>
      </w:r>
    </w:p>
    <w:p w:rsidR="00000000" w:rsidRPr="00EF2A77" w:rsidP="0011136E">
      <w:pPr>
        <w:pStyle w:val="BodyText"/>
      </w:pPr>
      <w:r w:rsidRPr="00EF2A77">
        <w:t>This unit applies to massage therapists providing general health maintenance treatments.</w:t>
      </w:r>
      <w:r w:rsidRPr="00EF2A77">
        <w:t xml:space="preserve"> It does not include remedial massage assessment techniques.</w:t>
      </w:r>
    </w:p>
    <w:p w:rsidR="00000000" w:rsidRPr="00EF2A77" w:rsidP="0011136E">
      <w:pPr>
        <w:pStyle w:val="BodyText"/>
      </w:pPr>
      <w:r w:rsidRPr="00EF2A77">
        <w:t>This unit applies to massage therapists.</w:t>
      </w:r>
    </w:p>
    <w:p w:rsidR="00000000" w:rsidRPr="0011136E" w:rsidP="0011136E">
      <w:pPr>
        <w:pStyle w:val="BodyText"/>
        <w:rPr>
          <w:i/>
        </w:rPr>
      </w:pPr>
      <w:r w:rsidRPr="0011136E">
        <w:rPr>
          <w:rStyle w:val="Emphasis"/>
        </w:rPr>
        <w:t>The skills in this unit must be applied in accordance with Commonwealth and State/Territory legislation, Australian/New Zealand standards and industry c</w:t>
      </w:r>
      <w:r w:rsidRPr="0011136E">
        <w:rPr>
          <w:rStyle w:val="Emphasis"/>
        </w:rPr>
        <w:t>odes of practice</w:t>
      </w:r>
      <w:r w:rsidRPr="0011136E">
        <w:rPr>
          <w:i/>
        </w:rPr>
        <w:t>.</w:t>
      </w:r>
    </w:p>
    <w:p w:rsidR="00000000" w:rsidRPr="00EF2A77" w:rsidP="00EF2A77">
      <w:pPr>
        <w:pStyle w:val="Heading1"/>
      </w:pPr>
      <w:bookmarkStart w:id="3" w:name="O_656800"/>
      <w:bookmarkEnd w:id="3"/>
      <w:r w:rsidRPr="00EF2A77">
        <w:t>Elements and Performance Criteria</w:t>
      </w:r>
    </w:p>
    <w:tbl>
      <w:tblPr>
        <w:tblW w:w="0" w:type="auto"/>
        <w:tblLayout w:type="fixed"/>
        <w:tblCellMar>
          <w:left w:w="62" w:type="dxa"/>
          <w:right w:w="62" w:type="dxa"/>
        </w:tblCellMar>
        <w:tblLook w:val="0000"/>
      </w:tblPr>
      <w:tblGrid>
        <w:gridCol w:w="3261"/>
        <w:gridCol w:w="5702"/>
      </w:tblGrid>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r w:rsidRPr="00EF2A77">
              <w:rPr>
                <w:rStyle w:val="SpecialBold"/>
              </w:rPr>
              <w:t>PERFORMANCE CRITERIA</w:t>
            </w: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r w:rsidRPr="00EF2A77">
              <w:rPr>
                <w:rStyle w:val="Emphasis"/>
              </w:rPr>
              <w:t>Performance criteria describe the performance needed to demonstrate achievement of the element.</w:t>
            </w: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r w:rsidRPr="00EF2A77">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t xml:space="preserve">1.1 Clarify client expectations </w:t>
            </w:r>
          </w:p>
          <w:p w:rsidR="00000000" w:rsidRPr="00EF2A77" w:rsidP="00EF2A77">
            <w:pPr>
              <w:pStyle w:val="BodyText"/>
            </w:pPr>
            <w:r w:rsidRPr="00EF2A77">
              <w:t>1.2 Provide clear information about scope and limits of services to be provided</w:t>
            </w:r>
          </w:p>
          <w:p w:rsidR="00000000" w:rsidRPr="00EF2A77" w:rsidP="00EF2A77">
            <w:pPr>
              <w:pStyle w:val="BodyText"/>
            </w:pPr>
            <w:r w:rsidRPr="00EF2A77">
              <w:t xml:space="preserve">1.3 Collect accurate, relevant and organised health record </w:t>
            </w:r>
            <w:r w:rsidRPr="00EF2A77">
              <w:t>and document in a form which can be interpreted r</w:t>
            </w:r>
            <w:r w:rsidRPr="00EF2A77">
              <w:t>eadily by other professionals</w:t>
            </w:r>
          </w:p>
          <w:p w:rsidR="00000000" w:rsidRPr="00EF2A77" w:rsidP="00EF2A77">
            <w:pPr>
              <w:pStyle w:val="BodyText"/>
            </w:pPr>
            <w:r w:rsidRPr="00EF2A77">
              <w:t xml:space="preserve">1.4 Recognise needs that are beyond scope of own practice, and make referrals to other health care professionals as required </w:t>
            </w:r>
          </w:p>
          <w:p w:rsidR="00000000" w:rsidRPr="00EF2A77" w:rsidP="00EF2A77">
            <w:pPr>
              <w:pStyle w:val="BodyText"/>
            </w:pPr>
            <w:r w:rsidRPr="00EF2A77">
              <w:t xml:space="preserve">1.5 Identify and respond to any barriers to information gathering and assessment </w:t>
            </w:r>
          </w:p>
          <w:p w:rsidR="00000000" w:rsidRPr="00EF2A77" w:rsidP="00EF2A77">
            <w:pPr>
              <w:pStyle w:val="BodyText"/>
            </w:pPr>
            <w:r w:rsidRPr="00EF2A77">
              <w:t>1.6 Seek client in</w:t>
            </w:r>
            <w:r w:rsidRPr="00EF2A77">
              <w:t>formation respectfully and sensitively, using purposeful, systematic and diplomatic questions</w:t>
            </w:r>
          </w:p>
          <w:p w:rsidR="00000000" w:rsidP="00EF2A77">
            <w:pPr>
              <w:pStyle w:val="BodyText"/>
              <w:rPr>
                <w:lang w:val="en-NZ"/>
              </w:rPr>
            </w:pPr>
            <w:r w:rsidRPr="00EF2A77">
              <w:t>1.7 Manage information in a confidential and secure way</w:t>
            </w: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EF2A77">
            <w:pPr>
              <w:pStyle w:val="ListContinue"/>
              <w:rPr>
                <w:lang w:val="en-NZ"/>
              </w:rPr>
            </w:pP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t>2. Make a physical assessment</w:t>
            </w:r>
          </w:p>
          <w:p w:rsidR="00000000" w:rsidRPr="00EF2A77" w:rsidP="00EF2A77">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t xml:space="preserve">2.1 Advise client about the physical assessment process and obtain client consent to proceed </w:t>
            </w:r>
          </w:p>
          <w:p w:rsidR="00000000" w:rsidRPr="00EF2A77" w:rsidP="00EF2A77">
            <w:pPr>
              <w:pStyle w:val="BodyText"/>
            </w:pPr>
            <w:r w:rsidRPr="00EF2A77">
              <w:t>2.2 Follow clinical and practitioner hygiene protocols</w:t>
            </w:r>
          </w:p>
          <w:p w:rsidR="00000000" w:rsidRPr="00EF2A77" w:rsidP="00EF2A77">
            <w:pPr>
              <w:pStyle w:val="BodyText"/>
            </w:pPr>
            <w:r w:rsidRPr="00EF2A77">
              <w:t>2.3 Respect client dignity and anticipate potential sensitivities</w:t>
            </w:r>
          </w:p>
          <w:p w:rsidR="00000000" w:rsidRPr="00EF2A77" w:rsidP="00EF2A77">
            <w:pPr>
              <w:pStyle w:val="BodyText"/>
            </w:pPr>
            <w:r w:rsidRPr="00EF2A77">
              <w:t>2.4 Seek client feedback on comfort level</w:t>
            </w:r>
            <w:r w:rsidRPr="00EF2A77">
              <w:t>s throughout assessment process</w:t>
            </w:r>
          </w:p>
          <w:p w:rsidR="00000000" w:rsidRPr="00EF2A77" w:rsidP="00EF2A77">
            <w:pPr>
              <w:pStyle w:val="BodyText"/>
            </w:pPr>
            <w:r w:rsidRPr="00EF2A77">
              <w:t xml:space="preserve">2.5 Assess client through palpation, observation and range of motion (ROM) testing </w:t>
            </w:r>
          </w:p>
          <w:p w:rsidR="00000000" w:rsidRPr="00EF2A77" w:rsidP="00EF2A77">
            <w:pPr>
              <w:pStyle w:val="BodyText"/>
            </w:pPr>
            <w:r w:rsidRPr="00EF2A77">
              <w:t>2.6 Identify and respond to contra-indications to massage treatment</w:t>
            </w:r>
          </w:p>
          <w:p w:rsidR="00000000" w:rsidP="00EF2A77">
            <w:pPr>
              <w:pStyle w:val="BodyText"/>
              <w:rPr>
                <w:lang w:val="en-NZ"/>
              </w:rPr>
            </w:pPr>
            <w:r w:rsidRPr="00EF2A77">
              <w:t xml:space="preserve">2.7 Accurately document assessment findings </w:t>
            </w: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EF2A77">
            <w:pPr>
              <w:pStyle w:val="ListContinue"/>
              <w:rPr>
                <w:lang w:val="en-NZ"/>
              </w:rPr>
            </w:pPr>
          </w:p>
        </w:tc>
      </w:tr>
      <w:tr w:rsidTr="00EF2A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A77">
            <w:pPr>
              <w:pStyle w:val="BodyText"/>
              <w:rPr>
                <w:lang w:val="en-NZ"/>
              </w:rPr>
            </w:pPr>
            <w:r w:rsidRPr="00EF2A77">
              <w:t xml:space="preserve">3. Determine and communicate treatment approach </w:t>
            </w:r>
          </w:p>
        </w:tc>
        <w:tc>
          <w:tcPr>
            <w:tcW w:w="5702" w:type="dxa"/>
            <w:tcBorders>
              <w:top w:val="nil"/>
              <w:left w:val="nil"/>
              <w:bottom w:val="nil"/>
              <w:right w:val="nil"/>
            </w:tcBorders>
            <w:tcMar>
              <w:top w:w="0" w:type="dxa"/>
              <w:left w:w="62" w:type="dxa"/>
              <w:bottom w:w="0" w:type="dxa"/>
              <w:right w:w="62" w:type="dxa"/>
            </w:tcMar>
          </w:tcPr>
          <w:p w:rsidR="00000000" w:rsidRPr="00EF2A77" w:rsidP="00EF2A77">
            <w:pPr>
              <w:pStyle w:val="BodyText"/>
            </w:pPr>
            <w:r w:rsidRPr="00EF2A77">
              <w:t xml:space="preserve">3.1 Determine treatment needs by integrating findings from physical assessment, observation and communication </w:t>
            </w:r>
          </w:p>
          <w:p w:rsidR="00000000" w:rsidRPr="00EF2A77" w:rsidP="00EF2A77">
            <w:pPr>
              <w:pStyle w:val="BodyText"/>
            </w:pPr>
            <w:r w:rsidRPr="00EF2A77">
              <w:t>3.2 Discuss assessment and rationale for treatment with the client</w:t>
            </w:r>
          </w:p>
          <w:p w:rsidR="00000000" w:rsidRPr="00EF2A77" w:rsidP="00EF2A77">
            <w:pPr>
              <w:pStyle w:val="BodyText"/>
            </w:pPr>
            <w:r w:rsidRPr="00EF2A77">
              <w:t>3.3 Respond to client enquiri</w:t>
            </w:r>
            <w:r w:rsidRPr="00EF2A77">
              <w:t>es using language the client understands</w:t>
            </w:r>
          </w:p>
          <w:p w:rsidR="00000000" w:rsidRPr="00EF2A77" w:rsidP="00EF2A77">
            <w:pPr>
              <w:pStyle w:val="BodyText"/>
            </w:pPr>
            <w:r w:rsidRPr="00EF2A77">
              <w:t>3.4 Discuss referral and collaborative options with the client as required</w:t>
            </w:r>
          </w:p>
        </w:tc>
      </w:tr>
    </w:tbl>
    <w:p w:rsidR="00000000" w:rsidRPr="00EF2A77" w:rsidP="00EF2A77">
      <w:pPr>
        <w:pStyle w:val="BodyText"/>
      </w:pPr>
    </w:p>
    <w:p w:rsidR="00000000" w:rsidRPr="00EF2A77" w:rsidP="00EF2A77">
      <w:pPr>
        <w:pStyle w:val="AllowPageBreak"/>
      </w:pPr>
    </w:p>
    <w:p w:rsidR="00000000" w:rsidRPr="00EF2A77" w:rsidP="00EF2A77">
      <w:pPr>
        <w:pStyle w:val="Heading1"/>
      </w:pPr>
      <w:bookmarkStart w:id="4" w:name="O_656801"/>
      <w:bookmarkEnd w:id="4"/>
      <w:r w:rsidRPr="00EF2A77">
        <w:t>Foundation Skills</w:t>
      </w:r>
    </w:p>
    <w:p w:rsidR="0011136E" w:rsidRPr="0011136E" w:rsidP="0011136E">
      <w:pPr>
        <w:pStyle w:val="BodyText"/>
        <w:rPr>
          <w:i/>
        </w:rPr>
      </w:pPr>
      <w:r w:rsidRPr="0011136E">
        <w:rPr>
          <w:rStyle w:val="Emphasis"/>
        </w:rPr>
        <w:t>The Foundation Skills describe those required skills (language, literacy, numeracy and employment skill</w:t>
      </w:r>
      <w:r w:rsidRPr="0011136E">
        <w:rPr>
          <w:rStyle w:val="Emphasis"/>
        </w:rPr>
        <w:t>s) that are essential to performance.</w:t>
      </w:r>
    </w:p>
    <w:p w:rsidR="00000000" w:rsidRPr="00EF2A77" w:rsidP="0011136E">
      <w:pPr>
        <w:pStyle w:val="BodyText"/>
      </w:pPr>
      <w:r w:rsidRPr="00EF2A77">
        <w:t>Foundation skills essential to performance are explicit in the performance criteria of this unit of competency.</w:t>
      </w:r>
    </w:p>
    <w:p w:rsidR="00000000" w:rsidRPr="00EF2A77" w:rsidP="00EF2A77">
      <w:pPr>
        <w:pStyle w:val="Heading1"/>
      </w:pPr>
      <w:bookmarkStart w:id="5" w:name="O_656803"/>
      <w:bookmarkEnd w:id="5"/>
      <w:r w:rsidRPr="00EF2A77">
        <w:t>Unit Mapping Information</w:t>
      </w:r>
    </w:p>
    <w:p w:rsidR="00000000" w:rsidRPr="00EF2A77" w:rsidP="0011136E">
      <w:pPr>
        <w:pStyle w:val="BodyText"/>
      </w:pPr>
      <w:r w:rsidRPr="00EF2A77">
        <w:t>No equivalent unit.</w:t>
      </w:r>
    </w:p>
    <w:p w:rsidR="00000000" w:rsidRPr="00EF2A77" w:rsidP="00EF2A77">
      <w:pPr>
        <w:pStyle w:val="Heading1"/>
      </w:pPr>
      <w:bookmarkStart w:id="6" w:name="O_656810"/>
      <w:bookmarkEnd w:id="6"/>
      <w:r w:rsidRPr="00EF2A77">
        <w:t>Links</w:t>
      </w:r>
    </w:p>
    <w:p w:rsidR="00000000" w:rsidRPr="00EF2A77" w:rsidP="0011136E">
      <w:pPr>
        <w:pStyle w:val="BodyText"/>
      </w:pPr>
      <w:r w:rsidRPr="00EF2A77">
        <w:t>Companion Volume im</w:t>
      </w:r>
      <w:r w:rsidRPr="00EF2A77">
        <w:t xml:space="preserve">plementation guides are found in VETNet - </w:t>
      </w:r>
      <w:r>
        <w:fldChar w:fldCharType="begin"/>
      </w:r>
      <w:r>
        <w:instrText xml:space="preserve"> HYPERLINK "https://vetnet.gov.au/Pages/TrainingDocs.aspx?q=ced1390f-48d9-4ab0-bd50-b015e5485705" </w:instrText>
      </w:r>
      <w:r>
        <w:fldChar w:fldCharType="separate"/>
      </w:r>
      <w:r w:rsidRPr="008340B7">
        <w:rPr>
          <w:rStyle w:val="Hyperlink"/>
        </w:rPr>
        <w:t>https://vetnet.gov.au/Pages/TrainingDocs.aspx?q=ced1390f-48d9-4ab0-bd50-b015e5485705</w:t>
      </w:r>
      <w:r>
        <w:fldChar w:fldCharType="end"/>
      </w:r>
    </w:p>
    <w:p w:rsidR="00000000" w:rsidRPr="00EF2A77" w:rsidP="0011136E">
      <w:pPr>
        <w:pStyle w:val="BodyText"/>
        <w:sectPr w:rsidSect="00EF2A77">
          <w:headerReference w:type="default" r:id="rId10"/>
          <w:footerReference w:type="default" r:id="rId11"/>
          <w:pgSz w:w="11908" w:h="16833"/>
          <w:pgMar w:top="1702" w:right="1418" w:bottom="1702" w:left="1418" w:header="992" w:footer="992" w:gutter="0"/>
          <w:cols w:space="720"/>
          <w:noEndnote/>
          <w:docGrid w:linePitch="299"/>
        </w:sectPr>
      </w:pPr>
    </w:p>
    <w:p w:rsidR="00000000" w:rsidRPr="00EF2A77" w:rsidP="00EF2A77">
      <w:pPr>
        <w:pStyle w:val="SuperHeading"/>
      </w:pPr>
      <w:r w:rsidRPr="00EF2A77">
        <w:t>Assessment Requirements for HLTMSG002 Assess client massage needs</w:t>
      </w:r>
    </w:p>
    <w:p w:rsidR="00000000" w:rsidRPr="00EF2A77" w:rsidP="00EF2A77">
      <w:pPr>
        <w:pStyle w:val="Heading1"/>
      </w:pPr>
      <w:bookmarkStart w:id="7" w:name="O_656805"/>
      <w:bookmarkEnd w:id="7"/>
      <w:r w:rsidRPr="00EF2A77">
        <w:t>Modification History</w:t>
      </w:r>
    </w:p>
    <w:tbl>
      <w:tblPr>
        <w:tblW w:w="0" w:type="auto"/>
        <w:tblLayout w:type="fixed"/>
        <w:tblCellMar>
          <w:left w:w="62" w:type="dxa"/>
          <w:right w:w="62" w:type="dxa"/>
        </w:tblCellMar>
        <w:tblLook w:val="0000"/>
      </w:tblPr>
      <w:tblGrid>
        <w:gridCol w:w="2790"/>
        <w:gridCol w:w="6344"/>
      </w:tblGrid>
      <w:tr w:rsidTr="00EF2A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77" w:rsidP="00EF2A77">
            <w:pPr>
              <w:pStyle w:val="BodyText"/>
            </w:pPr>
            <w:r w:rsidRPr="00EF2A7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77">
            <w:pPr>
              <w:pStyle w:val="BodyText"/>
              <w:rPr>
                <w:lang w:val="en-NZ"/>
              </w:rPr>
            </w:pPr>
            <w:r w:rsidRPr="00EF2A77">
              <w:rPr>
                <w:rStyle w:val="SpecialBold"/>
              </w:rPr>
              <w:t>Comments</w:t>
            </w:r>
          </w:p>
        </w:tc>
      </w:tr>
      <w:tr w:rsidTr="00EF2A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77">
            <w:pPr>
              <w:pStyle w:val="BodyText"/>
              <w:rPr>
                <w:lang w:val="en-NZ"/>
              </w:rPr>
            </w:pPr>
            <w:r w:rsidRPr="00EF2A7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77" w:rsidP="00EF2A77">
            <w:pPr>
              <w:pStyle w:val="BodyText"/>
            </w:pPr>
            <w:r w:rsidRPr="00EF2A77">
              <w:t xml:space="preserve">This version was released in </w:t>
            </w:r>
            <w:r w:rsidRPr="00EF2A77">
              <w:rPr>
                <w:rStyle w:val="Emphasis"/>
              </w:rPr>
              <w:t>HLT Health Training Package release 2.0</w:t>
            </w:r>
            <w:r w:rsidRPr="00EF2A77">
              <w:t xml:space="preserve"> and meets the requirements of the 2012 Standards for Training Packages.</w:t>
            </w:r>
          </w:p>
          <w:p w:rsidR="00000000" w:rsidRPr="00EF2A77" w:rsidP="00EF2A77">
            <w:pPr>
              <w:pStyle w:val="BodyText"/>
            </w:pPr>
            <w:r w:rsidRPr="00EF2A77">
              <w:t>Merged HLTREM407C/HLTREM408C/HLTREM409C. Significant changes to th</w:t>
            </w:r>
            <w:r w:rsidRPr="00EF2A77">
              <w:t>e elements and performance criteria. New evidence requirements for assessment, including volume and frequency requirements. Significant change to knowledge evidence. Minimum clinic hours added. Additional assessor requirements.</w:t>
            </w:r>
          </w:p>
        </w:tc>
      </w:tr>
    </w:tbl>
    <w:p w:rsidR="00000000" w:rsidRPr="00EF2A77" w:rsidP="00EF2A77">
      <w:pPr>
        <w:pStyle w:val="BodyText"/>
      </w:pPr>
    </w:p>
    <w:p w:rsidR="00000000" w:rsidRPr="00EF2A77" w:rsidP="00EF2A77">
      <w:pPr>
        <w:pStyle w:val="AllowPageBreak"/>
      </w:pPr>
    </w:p>
    <w:p w:rsidR="00000000" w:rsidRPr="00EF2A77" w:rsidP="00EF2A77">
      <w:pPr>
        <w:pStyle w:val="Heading1"/>
      </w:pPr>
      <w:bookmarkStart w:id="8" w:name="O_656806"/>
      <w:bookmarkEnd w:id="8"/>
      <w:r w:rsidRPr="00EF2A77">
        <w:t>Performan</w:t>
      </w:r>
      <w:r w:rsidRPr="00EF2A77">
        <w:t>ce Evidence</w:t>
      </w:r>
    </w:p>
    <w:p w:rsidR="00000000" w:rsidRPr="00EF2A77" w:rsidP="0011136E">
      <w:pPr>
        <w:pStyle w:val="BodyText"/>
      </w:pPr>
      <w:r w:rsidRPr="00EF2A7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F2A77" w:rsidP="00EF2A77">
      <w:pPr>
        <w:pStyle w:val="ListBullet"/>
      </w:pPr>
      <w:r w:rsidRPr="00EF2A77">
        <w:t>performed the activities outlined in the performance criteria of this unit during a period of at least 80 hours of massage client consultation work</w:t>
      </w:r>
    </w:p>
    <w:p w:rsidR="00000000" w:rsidRPr="00EF2A77" w:rsidP="00EF2A77">
      <w:pPr>
        <w:pStyle w:val="ListBullet"/>
      </w:pPr>
      <w:r w:rsidRPr="00EF2A77">
        <w:t>prepared for and managed at least 40 massage assessments - clients must include males and females from different stages of life with varied presentations</w:t>
      </w:r>
    </w:p>
    <w:p w:rsidR="00000000" w:rsidRPr="00EF2A77" w:rsidP="00EF2A77">
      <w:pPr>
        <w:pStyle w:val="ListBullet"/>
      </w:pPr>
      <w:r w:rsidRPr="00EF2A77">
        <w:t>completed physical assessments using palpation, observation and active, passive and resisted ROM testi</w:t>
      </w:r>
      <w:r w:rsidRPr="00EF2A77">
        <w:t xml:space="preserve">ng </w:t>
      </w:r>
    </w:p>
    <w:p w:rsidR="00000000" w:rsidRPr="00EF2A77" w:rsidP="00EF2A77">
      <w:pPr>
        <w:pStyle w:val="ListBullet"/>
      </w:pPr>
      <w:r w:rsidRPr="00EF2A77">
        <w:t>interacted effectively with clients:</w:t>
      </w:r>
    </w:p>
    <w:p w:rsidR="00000000" w:rsidRPr="00EF2A77" w:rsidP="00EF2A77">
      <w:pPr>
        <w:pStyle w:val="ListBullet2"/>
      </w:pPr>
      <w:r w:rsidRPr="00EF2A77">
        <w:t>clearly articulated information about services, treatment options and rationale</w:t>
      </w:r>
    </w:p>
    <w:p w:rsidR="00000000" w:rsidRPr="00EF2A77" w:rsidP="00EF2A77">
      <w:pPr>
        <w:pStyle w:val="ListBullet2"/>
      </w:pPr>
      <w:r w:rsidRPr="00EF2A77">
        <w:t>engaged clients in decision making</w:t>
      </w:r>
    </w:p>
    <w:p w:rsidR="00000000" w:rsidRPr="00EF2A77" w:rsidP="00EF2A77">
      <w:pPr>
        <w:pStyle w:val="AllowPageBreak"/>
      </w:pPr>
    </w:p>
    <w:p w:rsidR="00000000" w:rsidRPr="00EF2A77" w:rsidP="00EF2A77">
      <w:pPr>
        <w:pStyle w:val="Heading1"/>
      </w:pPr>
      <w:bookmarkStart w:id="9" w:name="O_656807"/>
      <w:bookmarkEnd w:id="9"/>
      <w:r w:rsidRPr="00EF2A77">
        <w:t>Knowledge Evidence</w:t>
      </w:r>
    </w:p>
    <w:p w:rsidR="00000000" w:rsidRPr="00EF2A77" w:rsidP="0011136E">
      <w:pPr>
        <w:pStyle w:val="BodyText"/>
      </w:pPr>
      <w:r w:rsidRPr="00EF2A7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F2A77">
        <w:t>of:</w:t>
      </w:r>
    </w:p>
    <w:p w:rsidR="00000000" w:rsidRPr="00EF2A77" w:rsidP="00EF2A77">
      <w:pPr>
        <w:pStyle w:val="ListBullet"/>
      </w:pPr>
      <w:r w:rsidRPr="00EF2A77">
        <w:t>legal and ethical considerations (national and state/territory) for client assessment:</w:t>
      </w:r>
    </w:p>
    <w:p w:rsidR="00000000" w:rsidRPr="00EF2A77" w:rsidP="00EF2A77">
      <w:pPr>
        <w:pStyle w:val="ListBullet2"/>
      </w:pPr>
      <w:r w:rsidRPr="00EF2A77">
        <w:t>codes of conduct</w:t>
      </w:r>
    </w:p>
    <w:p w:rsidR="00000000" w:rsidRPr="00EF2A77" w:rsidP="00EF2A77">
      <w:pPr>
        <w:pStyle w:val="ListBullet2"/>
      </w:pPr>
      <w:r w:rsidRPr="00EF2A77">
        <w:t>duty of care</w:t>
      </w:r>
    </w:p>
    <w:p w:rsidR="00000000" w:rsidRPr="00EF2A77" w:rsidP="00EF2A77">
      <w:pPr>
        <w:pStyle w:val="ListBullet2"/>
      </w:pPr>
      <w:r w:rsidRPr="00EF2A77">
        <w:t>informed consent</w:t>
      </w:r>
    </w:p>
    <w:p w:rsidR="00000000" w:rsidRPr="00EF2A77" w:rsidP="00EF2A77">
      <w:pPr>
        <w:pStyle w:val="ListBullet2"/>
      </w:pPr>
      <w:r w:rsidRPr="00EF2A77">
        <w:t>mandatory reporting</w:t>
      </w:r>
    </w:p>
    <w:p w:rsidR="00000000" w:rsidRPr="00EF2A77" w:rsidP="00EF2A77">
      <w:pPr>
        <w:pStyle w:val="ListBullet2"/>
      </w:pPr>
      <w:r w:rsidRPr="00EF2A77">
        <w:t xml:space="preserve">practitioner/client boundaries </w:t>
      </w:r>
    </w:p>
    <w:p w:rsidR="00000000" w:rsidRPr="00EF2A77" w:rsidP="00EF2A77">
      <w:pPr>
        <w:pStyle w:val="ListBullet2"/>
      </w:pPr>
      <w:r w:rsidRPr="00EF2A77">
        <w:t>privacy, confidentiality and disclosure</w:t>
      </w:r>
    </w:p>
    <w:p w:rsidR="00000000" w:rsidRPr="00EF2A77" w:rsidP="00EF2A77">
      <w:pPr>
        <w:pStyle w:val="ListBullet2"/>
      </w:pPr>
      <w:r w:rsidRPr="00EF2A77">
        <w:t>records management</w:t>
      </w:r>
    </w:p>
    <w:p w:rsidR="00000000" w:rsidRPr="00EF2A77" w:rsidP="00EF2A77">
      <w:pPr>
        <w:pStyle w:val="ListBullet2"/>
      </w:pPr>
      <w:r w:rsidRPr="00EF2A77">
        <w:t>working role boundaries</w:t>
      </w:r>
    </w:p>
    <w:p w:rsidR="00000000" w:rsidRPr="00EF2A77" w:rsidP="00EF2A77">
      <w:pPr>
        <w:pStyle w:val="ListBullet3"/>
      </w:pPr>
      <w:r w:rsidRPr="00EF2A77">
        <w:t>working within scope of practice</w:t>
      </w:r>
    </w:p>
    <w:p w:rsidR="00000000" w:rsidRPr="00EF2A77" w:rsidP="00EF2A77">
      <w:pPr>
        <w:pStyle w:val="ListBullet3"/>
      </w:pPr>
      <w:r w:rsidRPr="00EF2A77">
        <w:t>presenting symptoms that require referral to a medical practitioner</w:t>
      </w:r>
    </w:p>
    <w:p w:rsidR="00000000" w:rsidRPr="00EF2A77" w:rsidP="00EF2A77">
      <w:pPr>
        <w:pStyle w:val="ListBullet2"/>
      </w:pPr>
      <w:r w:rsidRPr="00EF2A77">
        <w:t>work health and safety</w:t>
      </w:r>
    </w:p>
    <w:p w:rsidR="00000000" w:rsidRPr="00EF2A77" w:rsidP="00EF2A77">
      <w:pPr>
        <w:pStyle w:val="ListBullet"/>
      </w:pPr>
      <w:r w:rsidRPr="00EF2A77">
        <w:t xml:space="preserve">referral options for massage practitioners, including: </w:t>
      </w:r>
    </w:p>
    <w:p w:rsidR="00000000" w:rsidRPr="00EF2A77" w:rsidP="00EF2A77">
      <w:pPr>
        <w:pStyle w:val="ListBullet2"/>
      </w:pPr>
      <w:r w:rsidRPr="00EF2A77">
        <w:t>professional health services including complementary health modalities</w:t>
      </w:r>
    </w:p>
    <w:p w:rsidR="00000000" w:rsidRPr="00EF2A77" w:rsidP="00EF2A77">
      <w:pPr>
        <w:pStyle w:val="ListBullet2"/>
      </w:pPr>
      <w:r w:rsidRPr="00EF2A77">
        <w:t xml:space="preserve">community resources and support services </w:t>
      </w:r>
    </w:p>
    <w:p w:rsidR="00000000" w:rsidRPr="00EF2A77" w:rsidP="00EF2A77">
      <w:pPr>
        <w:pStyle w:val="ListBullet"/>
      </w:pPr>
      <w:r w:rsidRPr="00EF2A77">
        <w:t>factors and barriers that may impact on massage assessment:</w:t>
      </w:r>
    </w:p>
    <w:p w:rsidR="00000000" w:rsidRPr="00EF2A77" w:rsidP="00EF2A77">
      <w:pPr>
        <w:pStyle w:val="ListBullet2"/>
      </w:pPr>
      <w:r w:rsidRPr="00EF2A77">
        <w:t>physical</w:t>
      </w:r>
    </w:p>
    <w:p w:rsidR="00000000" w:rsidRPr="00EF2A77" w:rsidP="00EF2A77">
      <w:pPr>
        <w:pStyle w:val="ListBullet2"/>
      </w:pPr>
      <w:r w:rsidRPr="00EF2A77">
        <w:t>psychological</w:t>
      </w:r>
    </w:p>
    <w:p w:rsidR="00000000" w:rsidRPr="00EF2A77" w:rsidP="00EF2A77">
      <w:pPr>
        <w:pStyle w:val="ListBullet2"/>
      </w:pPr>
      <w:r w:rsidRPr="00EF2A77">
        <w:t>cultural</w:t>
      </w:r>
    </w:p>
    <w:p w:rsidR="00000000" w:rsidRPr="00EF2A77" w:rsidP="00EF2A77">
      <w:pPr>
        <w:pStyle w:val="ListBullet"/>
      </w:pPr>
      <w:r w:rsidRPr="00EF2A77">
        <w:t>factors that affect individual health status:</w:t>
      </w:r>
    </w:p>
    <w:p w:rsidR="00000000" w:rsidRPr="00EF2A77" w:rsidP="00EF2A77">
      <w:pPr>
        <w:pStyle w:val="ListBullet2"/>
      </w:pPr>
      <w:r w:rsidRPr="00EF2A77">
        <w:t>a</w:t>
      </w:r>
      <w:r w:rsidRPr="00EF2A77">
        <w:t>ge</w:t>
      </w:r>
    </w:p>
    <w:p w:rsidR="00000000" w:rsidRPr="00EF2A77" w:rsidP="00EF2A77">
      <w:pPr>
        <w:pStyle w:val="ListBullet2"/>
      </w:pPr>
      <w:r w:rsidRPr="00EF2A77">
        <w:t>gender</w:t>
      </w:r>
    </w:p>
    <w:p w:rsidR="00000000" w:rsidRPr="00EF2A77" w:rsidP="00EF2A77">
      <w:pPr>
        <w:pStyle w:val="ListBullet2"/>
      </w:pPr>
      <w:r w:rsidRPr="00EF2A77">
        <w:t>constitution</w:t>
      </w:r>
    </w:p>
    <w:p w:rsidR="00000000" w:rsidRPr="00EF2A77" w:rsidP="00EF2A77">
      <w:pPr>
        <w:pStyle w:val="ListBullet2"/>
      </w:pPr>
      <w:r w:rsidRPr="00EF2A77">
        <w:t>lifestyle</w:t>
      </w:r>
    </w:p>
    <w:p w:rsidR="00000000" w:rsidRPr="00EF2A77" w:rsidP="00EF2A77">
      <w:pPr>
        <w:pStyle w:val="ListBullet2"/>
      </w:pPr>
      <w:r w:rsidRPr="00EF2A77">
        <w:t>diet</w:t>
      </w:r>
    </w:p>
    <w:p w:rsidR="00000000" w:rsidRPr="00EF2A77" w:rsidP="00EF2A77">
      <w:pPr>
        <w:pStyle w:val="ListBullet2"/>
      </w:pPr>
      <w:r w:rsidRPr="00EF2A77">
        <w:t>personal and medical history</w:t>
      </w:r>
    </w:p>
    <w:p w:rsidR="00000000" w:rsidRPr="00EF2A77" w:rsidP="00EF2A77">
      <w:pPr>
        <w:pStyle w:val="ListBullet2"/>
      </w:pPr>
      <w:r w:rsidRPr="00EF2A77">
        <w:t>values and attitudes</w:t>
      </w:r>
    </w:p>
    <w:p w:rsidR="00000000" w:rsidRPr="00EF2A77" w:rsidP="00EF2A77">
      <w:pPr>
        <w:pStyle w:val="ListBullet2"/>
      </w:pPr>
      <w:r w:rsidRPr="00EF2A77">
        <w:t>balance of rest and activity</w:t>
      </w:r>
    </w:p>
    <w:p w:rsidR="00000000" w:rsidRPr="00EF2A77" w:rsidP="00EF2A77">
      <w:pPr>
        <w:pStyle w:val="ListBullet2"/>
      </w:pPr>
      <w:r w:rsidRPr="00EF2A77">
        <w:t>physical environment</w:t>
      </w:r>
    </w:p>
    <w:p w:rsidR="00000000" w:rsidRPr="00EF2A77" w:rsidP="00EF2A77">
      <w:pPr>
        <w:pStyle w:val="ListBullet2"/>
      </w:pPr>
      <w:r w:rsidRPr="00EF2A77">
        <w:t>social environment</w:t>
      </w:r>
    </w:p>
    <w:p w:rsidR="00000000" w:rsidRPr="00EF2A77" w:rsidP="00EF2A77">
      <w:pPr>
        <w:pStyle w:val="ListBullet"/>
      </w:pPr>
      <w:r w:rsidRPr="00EF2A77">
        <w:t>client information required prior to physical assessment, including:</w:t>
      </w:r>
    </w:p>
    <w:p w:rsidR="00000000" w:rsidRPr="00EF2A77" w:rsidP="00EF2A77">
      <w:pPr>
        <w:pStyle w:val="ListBullet2"/>
      </w:pPr>
      <w:r w:rsidRPr="00EF2A77">
        <w:t>case history</w:t>
      </w:r>
    </w:p>
    <w:p w:rsidR="00000000" w:rsidRPr="00EF2A77" w:rsidP="00EF2A77">
      <w:pPr>
        <w:pStyle w:val="ListBullet2"/>
      </w:pPr>
      <w:r w:rsidRPr="00EF2A77">
        <w:t>client expectations</w:t>
      </w:r>
    </w:p>
    <w:p w:rsidR="00000000" w:rsidRPr="00EF2A77" w:rsidP="00EF2A77">
      <w:pPr>
        <w:pStyle w:val="ListBullet"/>
      </w:pPr>
      <w:r w:rsidRPr="00EF2A77">
        <w:t>considerations for performing physical massage assessments:</w:t>
      </w:r>
    </w:p>
    <w:p w:rsidR="00000000" w:rsidRPr="00EF2A77" w:rsidP="00EF2A77">
      <w:pPr>
        <w:pStyle w:val="ListBullet2"/>
      </w:pPr>
      <w:r w:rsidRPr="00EF2A77">
        <w:t>environment</w:t>
      </w:r>
    </w:p>
    <w:p w:rsidR="00000000" w:rsidRPr="00EF2A77" w:rsidP="00EF2A77">
      <w:pPr>
        <w:pStyle w:val="ListBullet2"/>
      </w:pPr>
      <w:r w:rsidRPr="00EF2A77">
        <w:t>equipment</w:t>
      </w:r>
    </w:p>
    <w:p w:rsidR="00000000" w:rsidRPr="00EF2A77" w:rsidP="00EF2A77">
      <w:pPr>
        <w:pStyle w:val="ListBullet2"/>
      </w:pPr>
      <w:r w:rsidRPr="00EF2A77">
        <w:t>client privacy</w:t>
      </w:r>
    </w:p>
    <w:p w:rsidR="00000000" w:rsidRPr="00EF2A77" w:rsidP="00EF2A77">
      <w:pPr>
        <w:pStyle w:val="ListBullet2"/>
      </w:pPr>
      <w:r w:rsidRPr="00EF2A77">
        <w:t>client instructions</w:t>
      </w:r>
    </w:p>
    <w:p w:rsidR="00000000" w:rsidRPr="00EF2A77" w:rsidP="00EF2A77">
      <w:pPr>
        <w:pStyle w:val="ListBullet"/>
      </w:pPr>
      <w:r w:rsidRPr="00EF2A77">
        <w:t>physical assessment techniques, how and when they are used, including:</w:t>
      </w:r>
    </w:p>
    <w:p w:rsidR="00000000" w:rsidRPr="00EF2A77" w:rsidP="00EF2A77">
      <w:pPr>
        <w:pStyle w:val="ListBullet2"/>
      </w:pPr>
      <w:r w:rsidRPr="00EF2A77">
        <w:t>postural assessment</w:t>
      </w:r>
    </w:p>
    <w:p w:rsidR="00000000" w:rsidRPr="00EF2A77" w:rsidP="00EF2A77">
      <w:pPr>
        <w:pStyle w:val="ListBullet2"/>
      </w:pPr>
      <w:r w:rsidRPr="00EF2A77">
        <w:t>range of motion (active, passive and resisted)</w:t>
      </w:r>
    </w:p>
    <w:p w:rsidR="00000000" w:rsidRPr="00EF2A77" w:rsidP="00EF2A77">
      <w:pPr>
        <w:pStyle w:val="ListBullet2"/>
      </w:pPr>
      <w:r w:rsidRPr="00EF2A77">
        <w:t>palpation</w:t>
      </w:r>
    </w:p>
    <w:p w:rsidR="00000000" w:rsidRPr="00EF2A77" w:rsidP="00EF2A77">
      <w:pPr>
        <w:pStyle w:val="ListBullet"/>
      </w:pPr>
      <w:r w:rsidRPr="00EF2A77">
        <w:t xml:space="preserve">contraindications to treatment and possible indications for referral, including: </w:t>
      </w:r>
    </w:p>
    <w:p w:rsidR="00000000" w:rsidRPr="00EF2A77" w:rsidP="00EF2A77">
      <w:pPr>
        <w:pStyle w:val="ListBullet2"/>
      </w:pPr>
      <w:r w:rsidRPr="00EF2A77">
        <w:t xml:space="preserve">protracted pain or pain which is non re-producible or neural in origin </w:t>
      </w:r>
    </w:p>
    <w:p w:rsidR="00000000" w:rsidRPr="00EF2A77" w:rsidP="00EF2A77">
      <w:pPr>
        <w:pStyle w:val="ListBullet2"/>
      </w:pPr>
      <w:r w:rsidRPr="00EF2A77">
        <w:t>fatigue</w:t>
      </w:r>
    </w:p>
    <w:p w:rsidR="00000000" w:rsidRPr="00EF2A77" w:rsidP="00EF2A77">
      <w:pPr>
        <w:pStyle w:val="ListBullet2"/>
      </w:pPr>
      <w:r w:rsidRPr="00EF2A77">
        <w:t>circulatory disorders</w:t>
      </w:r>
    </w:p>
    <w:p w:rsidR="00000000" w:rsidRPr="00EF2A77" w:rsidP="00EF2A77">
      <w:pPr>
        <w:pStyle w:val="ListBullet2"/>
      </w:pPr>
      <w:r w:rsidRPr="00EF2A77">
        <w:t>inflammation</w:t>
      </w:r>
    </w:p>
    <w:p w:rsidR="00000000" w:rsidRPr="00EF2A77" w:rsidP="00EF2A77">
      <w:pPr>
        <w:pStyle w:val="ListBullet2"/>
      </w:pPr>
      <w:r w:rsidRPr="00EF2A77">
        <w:t>lumps and tissue changes</w:t>
      </w:r>
    </w:p>
    <w:p w:rsidR="00000000" w:rsidRPr="00EF2A77" w:rsidP="00EF2A77">
      <w:pPr>
        <w:pStyle w:val="ListBullet2"/>
      </w:pPr>
      <w:r w:rsidRPr="00EF2A77">
        <w:t>rashes and changes in the skin</w:t>
      </w:r>
    </w:p>
    <w:p w:rsidR="00000000" w:rsidRPr="00EF2A77" w:rsidP="00EF2A77">
      <w:pPr>
        <w:pStyle w:val="ListBullet2"/>
      </w:pPr>
      <w:r w:rsidRPr="00EF2A77">
        <w:t>oedema</w:t>
      </w:r>
    </w:p>
    <w:p w:rsidR="00000000" w:rsidRPr="00EF2A77" w:rsidP="00EF2A77">
      <w:pPr>
        <w:pStyle w:val="ListBullet2"/>
      </w:pPr>
      <w:r w:rsidRPr="00EF2A77">
        <w:t>mood alterations</w:t>
      </w:r>
    </w:p>
    <w:p w:rsidR="00000000" w:rsidRPr="00EF2A77" w:rsidP="00EF2A77">
      <w:pPr>
        <w:pStyle w:val="ListBullet2"/>
      </w:pPr>
      <w:r w:rsidRPr="00EF2A77">
        <w:t>infection</w:t>
      </w:r>
    </w:p>
    <w:p w:rsidR="00000000" w:rsidRPr="00EF2A77" w:rsidP="00EF2A77">
      <w:pPr>
        <w:pStyle w:val="ListBullet2"/>
      </w:pPr>
      <w:r w:rsidRPr="00EF2A77">
        <w:t>changes in habits such as appetite elimination or sleep</w:t>
      </w:r>
    </w:p>
    <w:p w:rsidR="00000000" w:rsidRPr="00EF2A77" w:rsidP="00EF2A77">
      <w:pPr>
        <w:pStyle w:val="ListBullet2"/>
      </w:pPr>
      <w:r w:rsidRPr="00EF2A77">
        <w:t>bleeding and bruising</w:t>
      </w:r>
    </w:p>
    <w:p w:rsidR="00000000" w:rsidRPr="00EF2A77" w:rsidP="00EF2A77">
      <w:pPr>
        <w:pStyle w:val="ListBullet2"/>
      </w:pPr>
      <w:r w:rsidRPr="00EF2A77">
        <w:t>nausea, vomiting or diarrhoea</w:t>
      </w:r>
    </w:p>
    <w:p w:rsidR="00000000" w:rsidRPr="00EF2A77" w:rsidP="00EF2A77">
      <w:pPr>
        <w:pStyle w:val="ListBullet2"/>
      </w:pPr>
      <w:r w:rsidRPr="00EF2A77">
        <w:t>temperature-hot or cold</w:t>
      </w:r>
    </w:p>
    <w:p w:rsidR="00000000" w:rsidRPr="00EF2A77" w:rsidP="00EF2A77">
      <w:pPr>
        <w:pStyle w:val="ListBullet"/>
      </w:pPr>
      <w:r w:rsidRPr="00EF2A77">
        <w:t>major muscle anatomy, including:</w:t>
      </w:r>
    </w:p>
    <w:p w:rsidR="00000000" w:rsidRPr="00EF2A77" w:rsidP="00EF2A77">
      <w:pPr>
        <w:pStyle w:val="ListBullet2"/>
      </w:pPr>
      <w:r w:rsidRPr="00EF2A77">
        <w:t>surface anatomy</w:t>
      </w:r>
    </w:p>
    <w:p w:rsidR="00000000" w:rsidRPr="00EF2A77" w:rsidP="00EF2A77">
      <w:pPr>
        <w:pStyle w:val="ListBullet2"/>
      </w:pPr>
      <w:r w:rsidRPr="00EF2A77">
        <w:t>origin and insertion</w:t>
      </w:r>
    </w:p>
    <w:p w:rsidR="00000000" w:rsidRPr="00EF2A77" w:rsidP="00EF2A77">
      <w:pPr>
        <w:pStyle w:val="ListBullet2"/>
      </w:pPr>
      <w:r w:rsidRPr="00EF2A77">
        <w:t>palpable bony landmarks</w:t>
      </w:r>
    </w:p>
    <w:p w:rsidR="00000000" w:rsidRPr="00EF2A77" w:rsidP="00EF2A77">
      <w:pPr>
        <w:pStyle w:val="ListBullet2"/>
      </w:pPr>
      <w:r w:rsidRPr="00EF2A77">
        <w:t>reciprocal inhibition, antagonist/agonist, synergists</w:t>
      </w:r>
    </w:p>
    <w:p w:rsidR="00000000" w:rsidRPr="00EF2A77" w:rsidP="00EF2A77">
      <w:pPr>
        <w:pStyle w:val="ListBullet2"/>
      </w:pPr>
      <w:r w:rsidRPr="00EF2A77">
        <w:t>actions including individual actions, planes and synergistic groups of the following muscles:</w:t>
      </w:r>
    </w:p>
    <w:p w:rsidR="00000000" w:rsidRPr="00EF2A77" w:rsidP="00EF2A77">
      <w:pPr>
        <w:pStyle w:val="ListBullet3"/>
      </w:pPr>
      <w:r w:rsidRPr="00EF2A77">
        <w:t xml:space="preserve">temporalis </w:t>
      </w:r>
    </w:p>
    <w:p w:rsidR="00000000" w:rsidRPr="00EF2A77" w:rsidP="00EF2A77">
      <w:pPr>
        <w:pStyle w:val="ListBullet3"/>
      </w:pPr>
      <w:r w:rsidRPr="00EF2A77">
        <w:t>masseter</w:t>
      </w:r>
    </w:p>
    <w:p w:rsidR="00000000" w:rsidRPr="00EF2A77" w:rsidP="00EF2A77">
      <w:pPr>
        <w:pStyle w:val="ListBullet3"/>
      </w:pPr>
      <w:r w:rsidRPr="00EF2A77">
        <w:t>frontalis</w:t>
      </w:r>
    </w:p>
    <w:p w:rsidR="00000000" w:rsidRPr="00EF2A77" w:rsidP="00EF2A77">
      <w:pPr>
        <w:pStyle w:val="ListBullet3"/>
      </w:pPr>
      <w:r w:rsidRPr="00EF2A77">
        <w:t>sternocleidomastoid</w:t>
      </w:r>
    </w:p>
    <w:p w:rsidR="00000000" w:rsidRPr="00EF2A77" w:rsidP="00EF2A77">
      <w:pPr>
        <w:pStyle w:val="ListBullet3"/>
      </w:pPr>
      <w:r w:rsidRPr="00EF2A77">
        <w:t>trapezius</w:t>
      </w:r>
    </w:p>
    <w:p w:rsidR="00000000" w:rsidRPr="00EF2A77" w:rsidP="00EF2A77">
      <w:pPr>
        <w:pStyle w:val="ListBullet3"/>
      </w:pPr>
      <w:r w:rsidRPr="00EF2A77">
        <w:t>levator scapulae</w:t>
      </w:r>
    </w:p>
    <w:p w:rsidR="00000000" w:rsidRPr="00EF2A77" w:rsidP="00EF2A77">
      <w:pPr>
        <w:pStyle w:val="ListBullet3"/>
      </w:pPr>
      <w:r w:rsidRPr="00EF2A77">
        <w:t>latissimus dorsi</w:t>
      </w:r>
    </w:p>
    <w:p w:rsidR="00000000" w:rsidRPr="00EF2A77" w:rsidP="00EF2A77">
      <w:pPr>
        <w:pStyle w:val="ListBullet3"/>
      </w:pPr>
      <w:r w:rsidRPr="00EF2A77">
        <w:t>supraspinatus</w:t>
      </w:r>
    </w:p>
    <w:p w:rsidR="00000000" w:rsidRPr="00EF2A77" w:rsidP="00EF2A77">
      <w:pPr>
        <w:pStyle w:val="ListBullet3"/>
      </w:pPr>
      <w:r w:rsidRPr="00EF2A77">
        <w:t>infraspinatus</w:t>
      </w:r>
    </w:p>
    <w:p w:rsidR="00000000" w:rsidRPr="00EF2A77" w:rsidP="00EF2A77">
      <w:pPr>
        <w:pStyle w:val="ListBullet3"/>
      </w:pPr>
      <w:r w:rsidRPr="00EF2A77">
        <w:t>teres major</w:t>
      </w:r>
    </w:p>
    <w:p w:rsidR="00000000" w:rsidRPr="00EF2A77" w:rsidP="00EF2A77">
      <w:pPr>
        <w:pStyle w:val="ListBullet3"/>
      </w:pPr>
      <w:r w:rsidRPr="00EF2A77">
        <w:t>teres minor</w:t>
      </w:r>
    </w:p>
    <w:p w:rsidR="00000000" w:rsidRPr="00EF2A77" w:rsidP="00EF2A77">
      <w:pPr>
        <w:pStyle w:val="ListBullet3"/>
      </w:pPr>
      <w:r w:rsidRPr="00EF2A77">
        <w:t>subscapularis</w:t>
      </w:r>
    </w:p>
    <w:p w:rsidR="00000000" w:rsidRPr="00EF2A77" w:rsidP="00EF2A77">
      <w:pPr>
        <w:pStyle w:val="ListBullet3"/>
      </w:pPr>
      <w:r w:rsidRPr="00EF2A77">
        <w:t>rhomboids</w:t>
      </w:r>
    </w:p>
    <w:p w:rsidR="00000000" w:rsidRPr="00EF2A77" w:rsidP="00EF2A77">
      <w:pPr>
        <w:pStyle w:val="ListBullet3"/>
      </w:pPr>
      <w:r w:rsidRPr="00EF2A77">
        <w:t>pectoralis major</w:t>
      </w:r>
    </w:p>
    <w:p w:rsidR="00000000" w:rsidRPr="00EF2A77" w:rsidP="00EF2A77">
      <w:pPr>
        <w:pStyle w:val="ListBullet3"/>
      </w:pPr>
      <w:r w:rsidRPr="00EF2A77">
        <w:t>pectoralis minor</w:t>
      </w:r>
    </w:p>
    <w:p w:rsidR="00000000" w:rsidRPr="00EF2A77" w:rsidP="00EF2A77">
      <w:pPr>
        <w:pStyle w:val="ListBullet3"/>
      </w:pPr>
      <w:r w:rsidRPr="00EF2A77">
        <w:t>rectus abdominis</w:t>
      </w:r>
    </w:p>
    <w:p w:rsidR="00000000" w:rsidRPr="00EF2A77" w:rsidP="00EF2A77">
      <w:pPr>
        <w:pStyle w:val="ListBullet3"/>
      </w:pPr>
      <w:r w:rsidRPr="00EF2A77">
        <w:t>quadratus lumborum</w:t>
      </w:r>
    </w:p>
    <w:p w:rsidR="00000000" w:rsidRPr="00EF2A77" w:rsidP="00EF2A77">
      <w:pPr>
        <w:pStyle w:val="ListBullet3"/>
      </w:pPr>
      <w:r w:rsidRPr="00EF2A77">
        <w:t>psoas</w:t>
      </w:r>
    </w:p>
    <w:p w:rsidR="00000000" w:rsidRPr="00EF2A77" w:rsidP="00EF2A77">
      <w:pPr>
        <w:pStyle w:val="ListBullet3"/>
      </w:pPr>
      <w:r w:rsidRPr="00EF2A77">
        <w:t xml:space="preserve">erector spinae </w:t>
      </w:r>
    </w:p>
    <w:p w:rsidR="00000000" w:rsidRPr="00EF2A77" w:rsidP="00EF2A77">
      <w:pPr>
        <w:pStyle w:val="ListBullet3"/>
      </w:pPr>
      <w:r w:rsidRPr="00EF2A77">
        <w:t>gluteus maximus</w:t>
      </w:r>
    </w:p>
    <w:p w:rsidR="00000000" w:rsidRPr="00EF2A77" w:rsidP="00EF2A77">
      <w:pPr>
        <w:pStyle w:val="ListBullet3"/>
      </w:pPr>
      <w:r w:rsidRPr="00EF2A77">
        <w:t xml:space="preserve">gluteus </w:t>
      </w:r>
      <w:r w:rsidRPr="00EF2A77">
        <w:t>medius</w:t>
      </w:r>
    </w:p>
    <w:p w:rsidR="00000000" w:rsidRPr="00EF2A77" w:rsidP="00EF2A77">
      <w:pPr>
        <w:pStyle w:val="ListBullet3"/>
      </w:pPr>
      <w:r w:rsidRPr="00EF2A77">
        <w:t>piriformis</w:t>
      </w:r>
    </w:p>
    <w:p w:rsidR="00000000" w:rsidRPr="00EF2A77" w:rsidP="00EF2A77">
      <w:pPr>
        <w:pStyle w:val="ListBullet3"/>
      </w:pPr>
      <w:r w:rsidRPr="00EF2A77">
        <w:t>quadriceps</w:t>
      </w:r>
    </w:p>
    <w:p w:rsidR="00000000" w:rsidRPr="00EF2A77" w:rsidP="00EF2A77">
      <w:pPr>
        <w:pStyle w:val="ListBullet3"/>
      </w:pPr>
      <w:r w:rsidRPr="00EF2A77">
        <w:t>tibialis anterior</w:t>
      </w:r>
    </w:p>
    <w:p w:rsidR="00000000" w:rsidRPr="00EF2A77" w:rsidP="00EF2A77">
      <w:pPr>
        <w:pStyle w:val="ListBullet3"/>
      </w:pPr>
      <w:r w:rsidRPr="00EF2A77">
        <w:t>peroneals</w:t>
      </w:r>
    </w:p>
    <w:p w:rsidR="00000000" w:rsidRPr="00EF2A77" w:rsidP="00EF2A77">
      <w:pPr>
        <w:pStyle w:val="ListBullet3"/>
      </w:pPr>
      <w:r w:rsidRPr="00EF2A77">
        <w:t>hamstrings</w:t>
      </w:r>
    </w:p>
    <w:p w:rsidR="00000000" w:rsidRPr="00EF2A77" w:rsidP="00EF2A77">
      <w:pPr>
        <w:pStyle w:val="ListBullet3"/>
      </w:pPr>
      <w:r w:rsidRPr="00EF2A77">
        <w:t>adductor magnus</w:t>
      </w:r>
    </w:p>
    <w:p w:rsidR="00000000" w:rsidRPr="00EF2A77" w:rsidP="00EF2A77">
      <w:pPr>
        <w:pStyle w:val="ListBullet3"/>
      </w:pPr>
      <w:r w:rsidRPr="00EF2A77">
        <w:t>adductor longus</w:t>
      </w:r>
    </w:p>
    <w:p w:rsidR="00000000" w:rsidRPr="00EF2A77" w:rsidP="00EF2A77">
      <w:pPr>
        <w:pStyle w:val="ListBullet3"/>
      </w:pPr>
      <w:r w:rsidRPr="00EF2A77">
        <w:t>gastrocnemius</w:t>
      </w:r>
    </w:p>
    <w:p w:rsidR="00000000" w:rsidRPr="00EF2A77" w:rsidP="00EF2A77">
      <w:pPr>
        <w:pStyle w:val="ListBullet3"/>
      </w:pPr>
      <w:r w:rsidRPr="00EF2A77">
        <w:t>soleus</w:t>
      </w:r>
    </w:p>
    <w:p w:rsidR="00000000" w:rsidRPr="00EF2A77" w:rsidP="00EF2A77">
      <w:pPr>
        <w:pStyle w:val="ListBullet3"/>
      </w:pPr>
      <w:r w:rsidRPr="00EF2A77">
        <w:t>deltoid</w:t>
      </w:r>
    </w:p>
    <w:p w:rsidR="00000000" w:rsidRPr="00EF2A77" w:rsidP="00EF2A77">
      <w:pPr>
        <w:pStyle w:val="ListBullet3"/>
      </w:pPr>
      <w:r w:rsidRPr="00EF2A77">
        <w:t>biceps brachii</w:t>
      </w:r>
    </w:p>
    <w:p w:rsidR="00000000" w:rsidRPr="00EF2A77" w:rsidP="00EF2A77">
      <w:pPr>
        <w:pStyle w:val="ListBullet3"/>
      </w:pPr>
      <w:r w:rsidRPr="00EF2A77">
        <w:t>triceps brachii</w:t>
      </w:r>
    </w:p>
    <w:p w:rsidR="00000000" w:rsidRPr="00EF2A77" w:rsidP="00EF2A77">
      <w:pPr>
        <w:pStyle w:val="ListBullet3"/>
      </w:pPr>
      <w:r w:rsidRPr="00EF2A77">
        <w:t>flexor carpi radialus</w:t>
      </w:r>
    </w:p>
    <w:p w:rsidR="00000000" w:rsidRPr="00EF2A77" w:rsidP="00EF2A77">
      <w:pPr>
        <w:pStyle w:val="ListBullet3"/>
      </w:pPr>
      <w:r w:rsidRPr="00EF2A77">
        <w:t>flexor carpi ulnaris</w:t>
      </w:r>
    </w:p>
    <w:p w:rsidR="00000000" w:rsidRPr="00EF2A77" w:rsidP="00EF2A77">
      <w:pPr>
        <w:pStyle w:val="ListBullet3"/>
      </w:pPr>
      <w:r w:rsidRPr="00EF2A77">
        <w:t>palmaris longus</w:t>
      </w:r>
    </w:p>
    <w:p w:rsidR="00000000" w:rsidRPr="00EF2A77" w:rsidP="00EF2A77">
      <w:pPr>
        <w:pStyle w:val="ListBullet3"/>
      </w:pPr>
      <w:r w:rsidRPr="00EF2A77">
        <w:t>pronator teres</w:t>
      </w:r>
    </w:p>
    <w:p w:rsidR="00000000" w:rsidRPr="00EF2A77" w:rsidP="00EF2A77">
      <w:pPr>
        <w:pStyle w:val="ListBullet3"/>
      </w:pPr>
      <w:r w:rsidRPr="00EF2A77">
        <w:t>brachioradialis</w:t>
      </w:r>
    </w:p>
    <w:p w:rsidR="00000000" w:rsidRPr="00EF2A77" w:rsidP="00EF2A77">
      <w:pPr>
        <w:pStyle w:val="ListBullet3"/>
      </w:pPr>
      <w:r w:rsidRPr="00EF2A77">
        <w:t>extensor carpi radialis</w:t>
      </w:r>
    </w:p>
    <w:p w:rsidR="00000000" w:rsidRPr="00EF2A77" w:rsidP="00EF2A77">
      <w:pPr>
        <w:pStyle w:val="ListBullet3"/>
      </w:pPr>
      <w:r w:rsidRPr="00EF2A77">
        <w:t>supinator</w:t>
      </w:r>
    </w:p>
    <w:p w:rsidR="00000000" w:rsidRPr="00EF2A77" w:rsidP="00EF2A77">
      <w:pPr>
        <w:pStyle w:val="ListBullet2"/>
      </w:pPr>
      <w:r w:rsidRPr="00EF2A77">
        <w:t>skeleton:</w:t>
      </w:r>
    </w:p>
    <w:p w:rsidR="00000000" w:rsidRPr="00EF2A77" w:rsidP="00EF2A77">
      <w:pPr>
        <w:pStyle w:val="ListBullet3"/>
      </w:pPr>
      <w:r w:rsidRPr="00EF2A77">
        <w:t>bones of the body</w:t>
      </w:r>
    </w:p>
    <w:p w:rsidR="00000000" w:rsidRPr="00EF2A77" w:rsidP="00EF2A77">
      <w:pPr>
        <w:pStyle w:val="ListBullet3"/>
      </w:pPr>
      <w:r w:rsidRPr="00EF2A77">
        <w:t xml:space="preserve">major bony landmarks </w:t>
      </w:r>
    </w:p>
    <w:p w:rsidR="00000000" w:rsidRPr="00EF2A77" w:rsidP="00EF2A77">
      <w:pPr>
        <w:pStyle w:val="ListBullet3"/>
      </w:pPr>
      <w:r w:rsidRPr="00EF2A77">
        <w:t>surface anatomy and palpable bony landmarks</w:t>
      </w:r>
    </w:p>
    <w:p w:rsidR="00000000" w:rsidRPr="00EF2A77" w:rsidP="00EF2A77">
      <w:pPr>
        <w:pStyle w:val="ListBullet3"/>
      </w:pPr>
      <w:r w:rsidRPr="00EF2A77">
        <w:t>bone growth and remodelling</w:t>
      </w:r>
    </w:p>
    <w:p w:rsidR="00000000" w:rsidRPr="00EF2A77" w:rsidP="00EF2A77">
      <w:pPr>
        <w:pStyle w:val="ListBullet2"/>
      </w:pPr>
      <w:r w:rsidRPr="00EF2A77">
        <w:t>joints:</w:t>
      </w:r>
    </w:p>
    <w:p w:rsidR="00000000" w:rsidRPr="00EF2A77" w:rsidP="00EF2A77">
      <w:pPr>
        <w:pStyle w:val="ListBullet3"/>
      </w:pPr>
      <w:r w:rsidRPr="00EF2A77">
        <w:t>joint classifications –</w:t>
      </w:r>
      <w:r w:rsidRPr="00EF2A77">
        <w:t xml:space="preserve"> fibrous, cartilaginous, synovial (glide, plane, ball/socket, saddle, hinge, condyloid, pivot) </w:t>
      </w:r>
    </w:p>
    <w:p w:rsidR="00000000" w:rsidRPr="00EF2A77" w:rsidP="00EF2A77">
      <w:pPr>
        <w:pStyle w:val="ListBullet3"/>
      </w:pPr>
      <w:r w:rsidRPr="00EF2A77">
        <w:t>joint actions</w:t>
      </w:r>
    </w:p>
    <w:p w:rsidR="00000000" w:rsidRPr="00EF2A77" w:rsidP="00EF2A77">
      <w:pPr>
        <w:pStyle w:val="ListBullet"/>
      </w:pPr>
      <w:r w:rsidRPr="00EF2A77">
        <w:t>physiology:</w:t>
      </w:r>
    </w:p>
    <w:p w:rsidR="00000000" w:rsidRPr="00EF2A77" w:rsidP="00EF2A77">
      <w:pPr>
        <w:pStyle w:val="ListBullet2"/>
      </w:pPr>
      <w:r w:rsidRPr="00EF2A77">
        <w:t>soft tissue:</w:t>
      </w:r>
    </w:p>
    <w:p w:rsidR="00000000" w:rsidRPr="00EF2A77" w:rsidP="00EF2A77">
      <w:pPr>
        <w:pStyle w:val="ListBullet3"/>
      </w:pPr>
      <w:r w:rsidRPr="00EF2A77">
        <w:t>muscle contraction</w:t>
      </w:r>
    </w:p>
    <w:p w:rsidR="00000000" w:rsidRPr="00EF2A77" w:rsidP="00EF2A77">
      <w:pPr>
        <w:pStyle w:val="ListBullet3"/>
      </w:pPr>
      <w:r w:rsidRPr="00EF2A77">
        <w:t>muscle physiology (reflexes, chemistry, proprioceptors)</w:t>
      </w:r>
    </w:p>
    <w:p w:rsidR="00000000" w:rsidRPr="00EF2A77" w:rsidP="00EF2A77">
      <w:pPr>
        <w:pStyle w:val="ListBullet3"/>
      </w:pPr>
      <w:r w:rsidRPr="00EF2A77">
        <w:t>tendons and ligaments</w:t>
      </w:r>
    </w:p>
    <w:p w:rsidR="00000000" w:rsidRPr="00EF2A77" w:rsidP="00EF2A77">
      <w:pPr>
        <w:pStyle w:val="ListBullet3"/>
      </w:pPr>
      <w:r w:rsidRPr="00EF2A77">
        <w:t xml:space="preserve">fascia </w:t>
      </w:r>
    </w:p>
    <w:p w:rsidR="00000000" w:rsidRPr="00EF2A77" w:rsidP="00EF2A77">
      <w:pPr>
        <w:pStyle w:val="ListBullet2"/>
      </w:pPr>
      <w:r w:rsidRPr="00EF2A77">
        <w:t>hard tissue:</w:t>
      </w:r>
    </w:p>
    <w:p w:rsidR="00000000" w:rsidRPr="00EF2A77" w:rsidP="00EF2A77">
      <w:pPr>
        <w:pStyle w:val="ListBullet3"/>
      </w:pPr>
      <w:r w:rsidRPr="00EF2A77">
        <w:t>bone growth and development</w:t>
      </w:r>
    </w:p>
    <w:p w:rsidR="00000000" w:rsidRPr="00EF2A77" w:rsidP="00EF2A77">
      <w:pPr>
        <w:pStyle w:val="ListBullet3"/>
      </w:pPr>
      <w:r w:rsidRPr="00EF2A77">
        <w:t xml:space="preserve">abnormal bone growth </w:t>
      </w:r>
    </w:p>
    <w:p w:rsidR="00000000" w:rsidRPr="00EF2A77" w:rsidP="00EF2A77">
      <w:pPr>
        <w:pStyle w:val="ListBullet2"/>
      </w:pPr>
      <w:r w:rsidRPr="00EF2A77">
        <w:t>recognition of in terms of contra-indications:</w:t>
      </w:r>
    </w:p>
    <w:p w:rsidR="00000000" w:rsidRPr="00EF2A77" w:rsidP="00EF2A77">
      <w:pPr>
        <w:pStyle w:val="ListBullet3"/>
      </w:pPr>
      <w:r w:rsidRPr="00EF2A77">
        <w:t>inflammation (cardinal signs, physiology at cellular level)</w:t>
      </w:r>
    </w:p>
    <w:p w:rsidR="00000000" w:rsidRPr="00EF2A77" w:rsidP="00EF2A77">
      <w:pPr>
        <w:pStyle w:val="ListBullet3"/>
      </w:pPr>
      <w:r w:rsidRPr="00EF2A77">
        <w:t>injury and wound healing (acute/chronic, stages, grades)</w:t>
      </w:r>
    </w:p>
    <w:p w:rsidR="00000000" w:rsidRPr="00EF2A77" w:rsidP="00EF2A77">
      <w:pPr>
        <w:pStyle w:val="ListBullet3"/>
      </w:pPr>
      <w:r w:rsidRPr="00EF2A77">
        <w:t>pain types</w:t>
      </w:r>
    </w:p>
    <w:p w:rsidR="00000000" w:rsidRPr="00EF2A77" w:rsidP="00EF2A77">
      <w:pPr>
        <w:pStyle w:val="ListBullet3"/>
      </w:pPr>
      <w:r w:rsidRPr="00EF2A77">
        <w:t>tendinopathy</w:t>
      </w:r>
    </w:p>
    <w:p w:rsidR="00000000" w:rsidRPr="00EF2A77" w:rsidP="00EF2A77">
      <w:pPr>
        <w:pStyle w:val="AllowPageBreak"/>
      </w:pPr>
    </w:p>
    <w:p w:rsidR="00000000" w:rsidRPr="00EF2A77" w:rsidP="00EF2A77">
      <w:pPr>
        <w:pStyle w:val="Heading1"/>
      </w:pPr>
      <w:bookmarkStart w:id="10" w:name="O_656808"/>
      <w:bookmarkEnd w:id="10"/>
      <w:r w:rsidRPr="00EF2A77">
        <w:t>Assessment Conditions</w:t>
      </w:r>
    </w:p>
    <w:p w:rsidR="00000000" w:rsidRPr="00EF2A77" w:rsidP="0011136E">
      <w:pPr>
        <w:pStyle w:val="BodyText"/>
      </w:pPr>
      <w:r w:rsidRPr="00EF2A77">
        <w:t xml:space="preserve">Skills must have been demonstrated in the workplace or in a simulated clinical environment that reflects workplace conditions. The following conditions must be met for this unit: </w:t>
      </w:r>
    </w:p>
    <w:p w:rsidR="00000000" w:rsidRPr="00EF2A77" w:rsidP="00EF2A77">
      <w:pPr>
        <w:pStyle w:val="ListBullet"/>
      </w:pPr>
      <w:r w:rsidRPr="00EF2A77">
        <w:t>use of suitable facilities, equipment and resource</w:t>
      </w:r>
      <w:r w:rsidRPr="00EF2A77">
        <w:t xml:space="preserve">s, including: </w:t>
      </w:r>
    </w:p>
    <w:p w:rsidR="00000000" w:rsidRPr="00EF2A77" w:rsidP="00EF2A77">
      <w:pPr>
        <w:pStyle w:val="ListBullet2"/>
      </w:pPr>
      <w:r w:rsidRPr="00EF2A77">
        <w:t>client information – case history</w:t>
      </w:r>
    </w:p>
    <w:p w:rsidR="00000000" w:rsidRPr="00EF2A77" w:rsidP="00EF2A77">
      <w:pPr>
        <w:pStyle w:val="ListBullet2"/>
      </w:pPr>
      <w:r w:rsidRPr="00EF2A77">
        <w:t>private consultation area</w:t>
      </w:r>
    </w:p>
    <w:p w:rsidR="00000000" w:rsidRPr="00EF2A77" w:rsidP="00EF2A77">
      <w:pPr>
        <w:pStyle w:val="ListBullet2"/>
      </w:pPr>
      <w:r w:rsidRPr="00EF2A77">
        <w:t>adjustable height massage table</w:t>
      </w:r>
    </w:p>
    <w:p w:rsidR="00000000" w:rsidRPr="00EF2A77" w:rsidP="00EF2A77">
      <w:pPr>
        <w:pStyle w:val="ListBullet2"/>
      </w:pPr>
      <w:r w:rsidRPr="00EF2A77">
        <w:t>towels/sheets for draping</w:t>
      </w:r>
    </w:p>
    <w:p w:rsidR="00000000" w:rsidRPr="00EF2A77" w:rsidP="00EF2A77">
      <w:pPr>
        <w:pStyle w:val="ListBullet2"/>
      </w:pPr>
      <w:r w:rsidRPr="00EF2A77">
        <w:t>oils/balms</w:t>
      </w:r>
    </w:p>
    <w:p w:rsidR="00000000" w:rsidRPr="00EF2A77" w:rsidP="00EF2A77">
      <w:pPr>
        <w:pStyle w:val="ListBullet2"/>
      </w:pPr>
      <w:r w:rsidRPr="00EF2A77">
        <w:t>hot/cold packs</w:t>
      </w:r>
    </w:p>
    <w:p w:rsidR="00000000" w:rsidRPr="00EF2A77" w:rsidP="00EF2A77">
      <w:pPr>
        <w:pStyle w:val="ListBullet2"/>
      </w:pPr>
      <w:r w:rsidRPr="00EF2A77">
        <w:t>bolsters</w:t>
      </w:r>
    </w:p>
    <w:p w:rsidR="00000000" w:rsidRPr="00EF2A77" w:rsidP="00EF2A77">
      <w:pPr>
        <w:pStyle w:val="ListBullet"/>
      </w:pPr>
      <w:r w:rsidRPr="00EF2A77">
        <w:t xml:space="preserve">modelling of industry operating conditions, including provision of services to the general public </w:t>
      </w:r>
    </w:p>
    <w:p w:rsidR="00000000" w:rsidRPr="00EF2A77" w:rsidP="00EF2A77">
      <w:pPr>
        <w:pStyle w:val="ListBullet"/>
      </w:pPr>
      <w:r w:rsidRPr="00EF2A77">
        <w:t>clinic supervision by a person who meets the assessor requirements outlined below for at least 60 of the 80 hours of client consultation work</w:t>
      </w:r>
    </w:p>
    <w:p w:rsidR="00000000" w:rsidRPr="00EF2A77" w:rsidP="00EF2A77">
      <w:pPr>
        <w:pStyle w:val="BodyText"/>
      </w:pPr>
    </w:p>
    <w:p w:rsidR="00000000" w:rsidRPr="00EF2A77" w:rsidP="0011136E">
      <w:pPr>
        <w:pStyle w:val="BodyText"/>
      </w:pPr>
      <w:r w:rsidRPr="00EF2A77">
        <w:t>Assessors must</w:t>
      </w:r>
      <w:r w:rsidRPr="00EF2A77">
        <w:t xml:space="preserve"> satisfy the Standards for Registered Training Organisations (RTOs) 2015/AQTF mandatory competency requirements for assessors</w:t>
      </w:r>
      <w:r w:rsidRPr="00EF2A77">
        <w:rPr>
          <w:rStyle w:val="SpecialBold"/>
        </w:rPr>
        <w:t xml:space="preserve">. </w:t>
      </w:r>
    </w:p>
    <w:p w:rsidR="00000000" w:rsidRPr="00EF2A77" w:rsidP="0011136E">
      <w:pPr>
        <w:pStyle w:val="BodyText"/>
      </w:pPr>
      <w:r w:rsidRPr="00EF2A77">
        <w:t>In addition, assessors must:</w:t>
      </w:r>
    </w:p>
    <w:p w:rsidR="00000000" w:rsidRPr="00EF2A77" w:rsidP="00EF2A77">
      <w:pPr>
        <w:pStyle w:val="ListBullet"/>
      </w:pPr>
      <w:r w:rsidRPr="00EF2A77">
        <w:t xml:space="preserve">have current clinical experience working as a massage therapist providing services to the general </w:t>
      </w:r>
      <w:r w:rsidRPr="00EF2A77">
        <w:t>public</w:t>
      </w:r>
    </w:p>
    <w:p w:rsidR="00000000" w:rsidRPr="00EF2A77" w:rsidP="00EF2A77">
      <w:pPr>
        <w:pStyle w:val="ListBullet"/>
      </w:pPr>
      <w:r w:rsidRPr="00EF2A77">
        <w:t>hold practising membership of an Australian professional body that represents massage therapists</w:t>
      </w:r>
    </w:p>
    <w:p w:rsidR="00000000" w:rsidRPr="00EF2A77" w:rsidP="00EF2A77">
      <w:pPr>
        <w:pStyle w:val="ListBullet"/>
      </w:pPr>
      <w:r w:rsidRPr="00EF2A77">
        <w:t>fulfil the continuing professional development requirements of the professional body to which they belong</w:t>
      </w:r>
    </w:p>
    <w:p w:rsidR="00000000" w:rsidRPr="00EF2A77" w:rsidP="00EF2A77">
      <w:pPr>
        <w:pStyle w:val="AllowPageBreak"/>
      </w:pPr>
    </w:p>
    <w:p w:rsidR="00000000" w:rsidRPr="00EF2A77" w:rsidP="00EF2A77">
      <w:pPr>
        <w:pStyle w:val="Heading1"/>
      </w:pPr>
      <w:bookmarkStart w:id="11" w:name="O_656811"/>
      <w:bookmarkEnd w:id="11"/>
      <w:r w:rsidRPr="00EF2A77">
        <w:t>Links</w:t>
      </w:r>
    </w:p>
    <w:p w:rsidR="00000000" w:rsidRPr="00EF2A77" w:rsidP="0011136E">
      <w:pPr>
        <w:pStyle w:val="BodyText"/>
      </w:pPr>
      <w:r w:rsidRPr="00EF2A7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340B7">
        <w:rPr>
          <w:rStyle w:val="Hyperlink"/>
        </w:rPr>
        <w:t>https://vetnet.gov.au/Pages/TrainingDocs.aspx?q=ced1390f-48d9-4ab0-bd50-b015e5485705</w:t>
      </w:r>
      <w:r>
        <w:fldChar w:fldCharType="end"/>
      </w:r>
    </w:p>
    <w:p w:rsidR="00000000" w:rsidRPr="00EF2A77" w:rsidP="00EF2A77"/>
    <w:sectPr w:rsidSect="00EF2A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rsidRPr="0011136E" w:rsidP="00111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6E" w:rsidP="00EF2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136E" w:rsidP="00EF2A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1136E" w:rsidP="00EF2A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rsidP="00EF2A77">
    <w:pPr>
      <w:pStyle w:val="Footer"/>
      <w:framePr w:wrap="around"/>
    </w:pPr>
    <w:r>
      <w:fldChar w:fldCharType="begin"/>
    </w:r>
    <w:r>
      <w:instrText xml:space="preserve"> DOCPROPERTY  Subject  \* MERGEFORMAT </w:instrText>
    </w:r>
    <w:r>
      <w:fldChar w:fldCharType="separate"/>
    </w:r>
    <w:r w:rsidR="0011136E">
      <w:t>Approved</w:t>
    </w:r>
    <w:r w:rsidR="0011136E">
      <w:fldChar w:fldCharType="end"/>
    </w:r>
    <w:r>
      <w:tab/>
      <w:t xml:space="preserve">Page </w:t>
    </w:r>
    <w:r>
      <w:fldChar w:fldCharType="begin"/>
    </w:r>
    <w:r>
      <w:instrText xml:space="preserve"> PAGE  \* Arabic  \* MERGEFORMAT </w:instrText>
    </w:r>
    <w:r>
      <w:fldChar w:fldCharType="separate"/>
    </w:r>
    <w:r w:rsidR="001113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36E">
      <w:rPr>
        <w:noProof/>
      </w:rPr>
      <w:t>6</w:t>
    </w:r>
    <w:r>
      <w:rPr>
        <w:noProof/>
      </w:rPr>
      <w:fldChar w:fldCharType="end"/>
    </w:r>
  </w:p>
  <w:p w:rsidR="00EF2A77" w:rsidP="00EF2A77">
    <w:pPr>
      <w:pStyle w:val="Footer"/>
      <w:framePr w:wrap="around"/>
    </w:pPr>
    <w:r>
      <w:t xml:space="preserve">© Commonwealth of Australia, </w:t>
    </w:r>
    <w:r>
      <w:fldChar w:fldCharType="begin"/>
    </w:r>
    <w:r>
      <w:instrText xml:space="preserve"> DATE  \@ "yyyy"  \* MERGEFORMAT </w:instrText>
    </w:r>
    <w:r>
      <w:fldChar w:fldCharType="separate"/>
    </w:r>
    <w:r w:rsidR="0011136E">
      <w:rPr>
        <w:noProof/>
      </w:rPr>
      <w:t>2025</w:t>
    </w:r>
    <w:r>
      <w:fldChar w:fldCharType="end"/>
    </w:r>
    <w:r>
      <w:tab/>
    </w:r>
    <w:r>
      <w:fldChar w:fldCharType="begin"/>
    </w:r>
    <w:r>
      <w:instrText xml:space="preserve"> DOCPROPERTY  Author  \* MERGEFORMAT </w:instrText>
    </w:r>
    <w:r>
      <w:fldChar w:fldCharType="separate"/>
    </w:r>
    <w:r w:rsidR="0011136E">
      <w:t>HumanAbility</w:t>
    </w:r>
    <w:r w:rsidR="0011136E">
      <w:fldChar w:fldCharType="end"/>
    </w:r>
  </w:p>
  <w:p w:rsidR="00EF2A77" w:rsidP="00EF2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A77" w:rsidRPr="0011136E" w:rsidP="00111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6E" w:rsidRPr="002D2AF8" w:rsidP="00EF2A77">
    <w:pPr>
      <w:pStyle w:val="Header"/>
      <w:framePr w:wrap="around"/>
    </w:pPr>
    <w:r>
      <w:fldChar w:fldCharType="begin"/>
    </w:r>
    <w:r>
      <w:instrText xml:space="preserve"> TITLE   \* MERGEFORMAT </w:instrText>
    </w:r>
    <w:r>
      <w:fldChar w:fldCharType="separate"/>
    </w:r>
    <w:r>
      <w:t>HLTMSG002 Assess client massage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36E" w:rsidP="00EF2A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7" w:rsidRPr="002D2AF8" w:rsidP="00EF2A77">
    <w:pPr>
      <w:pStyle w:val="Header"/>
      <w:framePr w:wrap="around"/>
    </w:pPr>
    <w:r>
      <w:fldChar w:fldCharType="begin"/>
    </w:r>
    <w:r>
      <w:instrText xml:space="preserve"> TITLE   \* MERGEFORMAT </w:instrText>
    </w:r>
    <w:r>
      <w:fldChar w:fldCharType="separate"/>
    </w:r>
    <w:r w:rsidR="0011136E">
      <w:t>HLTMSG002 Assess client massage needs</w:t>
    </w:r>
    <w:r w:rsidR="0011136E">
      <w:fldChar w:fldCharType="end"/>
    </w:r>
    <w:r>
      <w:tab/>
      <w:t xml:space="preserve">Date this document was generated: </w:t>
    </w:r>
    <w:r>
      <w:fldChar w:fldCharType="begin"/>
    </w:r>
    <w:r>
      <w:instrText xml:space="preserve"> CREATEDATE  \@ "d MMMM yyyy"  \* MERGEFORMAT </w:instrText>
    </w:r>
    <w:r>
      <w:fldChar w:fldCharType="separate"/>
    </w:r>
    <w:r w:rsidR="0011136E">
      <w:rPr>
        <w:noProof/>
      </w:rPr>
      <w:t>2 March 2025</w:t>
    </w:r>
    <w:r>
      <w:fldChar w:fldCharType="end"/>
    </w:r>
  </w:p>
  <w:p w:rsidR="00EF2A77" w:rsidP="00EF2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E6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FC6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21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A77"/>
    <w:pPr>
      <w:spacing w:before="360" w:after="60"/>
      <w:outlineLvl w:val="0"/>
    </w:pPr>
    <w:rPr>
      <w:sz w:val="32"/>
    </w:rPr>
  </w:style>
  <w:style w:type="paragraph" w:styleId="Heading2">
    <w:name w:val="heading 2"/>
    <w:basedOn w:val="HeadingBase"/>
    <w:next w:val="BodyText"/>
    <w:link w:val="Heading2Char"/>
    <w:qFormat/>
    <w:rsid w:val="00EF2A77"/>
    <w:pPr>
      <w:keepLines/>
      <w:spacing w:before="240" w:after="120"/>
      <w:outlineLvl w:val="1"/>
    </w:pPr>
    <w:rPr>
      <w:sz w:val="28"/>
      <w:szCs w:val="40"/>
    </w:rPr>
  </w:style>
  <w:style w:type="paragraph" w:styleId="Heading3">
    <w:name w:val="heading 3"/>
    <w:basedOn w:val="HeadingBase"/>
    <w:next w:val="BodyText"/>
    <w:link w:val="Heading3Char"/>
    <w:qFormat/>
    <w:rsid w:val="00EF2A77"/>
    <w:pPr>
      <w:spacing w:before="180" w:after="120"/>
      <w:outlineLvl w:val="2"/>
    </w:pPr>
    <w:rPr>
      <w:spacing w:val="-10"/>
      <w:kern w:val="32"/>
    </w:rPr>
  </w:style>
  <w:style w:type="paragraph" w:styleId="Heading4">
    <w:name w:val="heading 4"/>
    <w:basedOn w:val="HeadingBase"/>
    <w:next w:val="BodyText"/>
    <w:link w:val="Heading4Char"/>
    <w:qFormat/>
    <w:rsid w:val="00EF2A77"/>
    <w:pPr>
      <w:spacing w:before="160" w:after="120"/>
      <w:outlineLvl w:val="3"/>
    </w:pPr>
    <w:rPr>
      <w:sz w:val="22"/>
    </w:rPr>
  </w:style>
  <w:style w:type="paragraph" w:styleId="Heading5">
    <w:name w:val="heading 5"/>
    <w:basedOn w:val="HeadingBase"/>
    <w:next w:val="Normal"/>
    <w:link w:val="Heading5Char"/>
    <w:qFormat/>
    <w:rsid w:val="00EF2A77"/>
    <w:pPr>
      <w:spacing w:before="80"/>
      <w:outlineLvl w:val="4"/>
    </w:pPr>
    <w:rPr>
      <w:color w:val="918585"/>
      <w:sz w:val="20"/>
    </w:rPr>
  </w:style>
  <w:style w:type="paragraph" w:styleId="Heading6">
    <w:name w:val="heading 6"/>
    <w:basedOn w:val="HeadingBase"/>
    <w:next w:val="Normal"/>
    <w:link w:val="Heading6Char"/>
    <w:qFormat/>
    <w:rsid w:val="00EF2A77"/>
    <w:pPr>
      <w:spacing w:before="60"/>
      <w:outlineLvl w:val="5"/>
    </w:pPr>
    <w:rPr>
      <w:color w:val="918585"/>
      <w:sz w:val="20"/>
    </w:rPr>
  </w:style>
  <w:style w:type="paragraph" w:styleId="Heading7">
    <w:name w:val="heading 7"/>
    <w:basedOn w:val="Normal"/>
    <w:next w:val="Normal"/>
    <w:link w:val="Heading7Char"/>
    <w:qFormat/>
    <w:rsid w:val="00EF2A77"/>
    <w:pPr>
      <w:ind w:left="720"/>
      <w:outlineLvl w:val="6"/>
    </w:pPr>
    <w:rPr>
      <w:i/>
    </w:rPr>
  </w:style>
  <w:style w:type="paragraph" w:styleId="Heading8">
    <w:name w:val="heading 8"/>
    <w:basedOn w:val="Normal"/>
    <w:next w:val="Normal"/>
    <w:link w:val="Heading8Char"/>
    <w:qFormat/>
    <w:rsid w:val="00EF2A77"/>
    <w:pPr>
      <w:ind w:left="720"/>
      <w:outlineLvl w:val="7"/>
    </w:pPr>
    <w:rPr>
      <w:i/>
    </w:rPr>
  </w:style>
  <w:style w:type="paragraph" w:styleId="Heading9">
    <w:name w:val="heading 9"/>
    <w:basedOn w:val="Normal"/>
    <w:next w:val="Normal"/>
    <w:link w:val="Heading9Char"/>
    <w:qFormat/>
    <w:rsid w:val="00EF2A77"/>
    <w:pPr>
      <w:ind w:left="720"/>
      <w:outlineLvl w:val="8"/>
    </w:pPr>
    <w:rPr>
      <w:i/>
    </w:rPr>
  </w:style>
  <w:style w:type="character" w:default="1" w:styleId="DefaultParagraphFont">
    <w:name w:val="Default Paragraph Font"/>
    <w:uiPriority w:val="1"/>
    <w:unhideWhenUsed/>
    <w:rsid w:val="00EF2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A77"/>
  </w:style>
  <w:style w:type="character" w:customStyle="1" w:styleId="Heading1Char">
    <w:name w:val="Heading 1 Char"/>
    <w:basedOn w:val="DefaultParagraphFont"/>
    <w:link w:val="Heading1"/>
    <w:rsid w:val="00EF2A77"/>
    <w:rPr>
      <w:rFonts w:ascii="Times New Roman" w:eastAsia="Times New Roman" w:hAnsi="Times New Roman" w:cs="Times New Roman"/>
      <w:b/>
      <w:sz w:val="32"/>
      <w:szCs w:val="20"/>
      <w:lang w:eastAsia="en-US"/>
    </w:rPr>
  </w:style>
  <w:style w:type="paragraph" w:styleId="BodyText">
    <w:name w:val="Body Text"/>
    <w:basedOn w:val="Normal"/>
    <w:link w:val="BodyTextChar"/>
    <w:rsid w:val="00EF2A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A77"/>
    <w:rPr>
      <w:rFonts w:ascii="Times New Roman" w:eastAsia="Times New Roman" w:hAnsi="Times New Roman" w:cs="Times New Roman"/>
      <w:sz w:val="24"/>
      <w:lang w:eastAsia="en-US"/>
    </w:rPr>
  </w:style>
  <w:style w:type="paragraph" w:styleId="ListBullet">
    <w:name w:val="List Bullet"/>
    <w:basedOn w:val="List"/>
    <w:rsid w:val="00EF2A77"/>
    <w:pPr>
      <w:numPr>
        <w:numId w:val="13"/>
      </w:numPr>
      <w:tabs>
        <w:tab w:val="clear" w:pos="340"/>
      </w:tabs>
      <w:spacing w:before="40" w:after="40"/>
    </w:pPr>
  </w:style>
  <w:style w:type="character" w:customStyle="1" w:styleId="SpecialBold">
    <w:name w:val="Special Bold"/>
    <w:basedOn w:val="DefaultParagraphFont"/>
    <w:rsid w:val="00EF2A77"/>
    <w:rPr>
      <w:b/>
      <w:spacing w:val="0"/>
    </w:rPr>
  </w:style>
  <w:style w:type="paragraph" w:styleId="ListBullet2">
    <w:name w:val="List Bullet 2"/>
    <w:basedOn w:val="List2"/>
    <w:rsid w:val="00EF2A77"/>
    <w:pPr>
      <w:numPr>
        <w:numId w:val="14"/>
      </w:numPr>
      <w:tabs>
        <w:tab w:val="clear" w:pos="680"/>
      </w:tabs>
    </w:pPr>
  </w:style>
  <w:style w:type="character" w:styleId="Emphasis">
    <w:name w:val="Emphasis"/>
    <w:basedOn w:val="DefaultParagraphFont"/>
    <w:qFormat/>
    <w:rsid w:val="00EF2A77"/>
    <w:rPr>
      <w:i/>
    </w:rPr>
  </w:style>
  <w:style w:type="paragraph" w:customStyle="1" w:styleId="SuperHeading">
    <w:name w:val="SuperHeading"/>
    <w:basedOn w:val="Normal"/>
    <w:rsid w:val="00EF2A77"/>
    <w:pPr>
      <w:spacing w:before="240" w:after="120"/>
      <w:outlineLvl w:val="0"/>
    </w:pPr>
    <w:rPr>
      <w:rFonts w:ascii="Times New Roman" w:hAnsi="Times New Roman"/>
      <w:b/>
      <w:sz w:val="32"/>
    </w:rPr>
  </w:style>
  <w:style w:type="paragraph" w:customStyle="1" w:styleId="AllowPageBreak">
    <w:name w:val="AllowPageBreak"/>
    <w:rsid w:val="00EF2A7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F2A77"/>
    <w:pPr>
      <w:ind w:firstLine="0"/>
    </w:pPr>
  </w:style>
  <w:style w:type="paragraph" w:styleId="ListBullet3">
    <w:name w:val="List Bullet 3"/>
    <w:basedOn w:val="List3"/>
    <w:rsid w:val="00EF2A77"/>
    <w:pPr>
      <w:numPr>
        <w:numId w:val="3"/>
      </w:numPr>
      <w:tabs>
        <w:tab w:val="clear" w:pos="1021"/>
      </w:tabs>
      <w:ind w:left="1037" w:hanging="357"/>
    </w:pPr>
  </w:style>
  <w:style w:type="character" w:customStyle="1" w:styleId="Heading2Char">
    <w:name w:val="Heading 2 Char"/>
    <w:basedOn w:val="DefaultParagraphFont"/>
    <w:link w:val="Heading2"/>
    <w:rsid w:val="00EF2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A77"/>
    <w:rPr>
      <w:rFonts w:ascii="Courier New" w:eastAsia="Times New Roman" w:hAnsi="Courier New" w:cs="Times New Roman"/>
      <w:i/>
      <w:szCs w:val="20"/>
      <w:lang w:eastAsia="en-US"/>
    </w:rPr>
  </w:style>
  <w:style w:type="paragraph" w:customStyle="1" w:styleId="HeadingBase">
    <w:name w:val="Heading Base"/>
    <w:rsid w:val="00EF2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A77"/>
    <w:pPr>
      <w:tabs>
        <w:tab w:val="right" w:leader="dot" w:pos="9072"/>
      </w:tabs>
      <w:ind w:left="567"/>
    </w:pPr>
    <w:rPr>
      <w:szCs w:val="22"/>
    </w:rPr>
  </w:style>
  <w:style w:type="paragraph" w:customStyle="1" w:styleId="TOCBase">
    <w:name w:val="TOC Base"/>
    <w:rsid w:val="00EF2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A77"/>
    <w:pPr>
      <w:tabs>
        <w:tab w:val="right" w:leader="dot" w:pos="9072"/>
      </w:tabs>
      <w:spacing w:before="40" w:after="40"/>
      <w:ind w:left="284"/>
    </w:pPr>
    <w:rPr>
      <w:rFonts w:ascii="Times New Roman" w:hAnsi="Times New Roman"/>
    </w:rPr>
  </w:style>
  <w:style w:type="paragraph" w:styleId="TOC1">
    <w:name w:val="toc 1"/>
    <w:basedOn w:val="TOCBase"/>
    <w:next w:val="Normal"/>
    <w:rsid w:val="00EF2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A77"/>
    <w:rPr>
      <w:rFonts w:ascii="Times New Roman" w:eastAsia="Times New Roman" w:hAnsi="Times New Roman" w:cs="Times New Roman"/>
      <w:sz w:val="16"/>
      <w:lang w:eastAsia="en-US"/>
    </w:rPr>
  </w:style>
  <w:style w:type="paragraph" w:styleId="Title">
    <w:name w:val="Title"/>
    <w:basedOn w:val="HeadingBase"/>
    <w:link w:val="TitleChar"/>
    <w:qFormat/>
    <w:rsid w:val="00EF2A77"/>
    <w:pPr>
      <w:spacing w:before="5040"/>
      <w:jc w:val="center"/>
    </w:pPr>
    <w:rPr>
      <w:sz w:val="48"/>
      <w:szCs w:val="72"/>
      <w:lang w:val="en-US"/>
    </w:rPr>
  </w:style>
  <w:style w:type="character" w:customStyle="1" w:styleId="TitleChar">
    <w:name w:val="Title Char"/>
    <w:basedOn w:val="DefaultParagraphFont"/>
    <w:link w:val="Title"/>
    <w:rsid w:val="00EF2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A77"/>
    <w:pPr>
      <w:tabs>
        <w:tab w:val="left" w:pos="3600"/>
        <w:tab w:val="left" w:pos="3958"/>
      </w:tabs>
    </w:pPr>
  </w:style>
  <w:style w:type="paragraph" w:styleId="List">
    <w:name w:val="List"/>
    <w:basedOn w:val="BodyText"/>
    <w:next w:val="BodyText"/>
    <w:rsid w:val="00EF2A77"/>
    <w:pPr>
      <w:tabs>
        <w:tab w:val="left" w:pos="340"/>
      </w:tabs>
      <w:spacing w:before="60" w:after="60"/>
      <w:ind w:left="340" w:hanging="340"/>
    </w:pPr>
  </w:style>
  <w:style w:type="paragraph" w:customStyle="1" w:styleId="Note">
    <w:name w:val="Note"/>
    <w:basedOn w:val="BodyText"/>
    <w:rsid w:val="00EF2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A77"/>
    <w:pPr>
      <w:framePr w:wrap="auto" w:hAnchor="text" w:y="6049"/>
    </w:pPr>
    <w:rPr>
      <w:color w:val="000000"/>
      <w:sz w:val="40"/>
    </w:rPr>
  </w:style>
  <w:style w:type="paragraph" w:customStyle="1" w:styleId="TOCTitle">
    <w:name w:val="TOCTitle"/>
    <w:basedOn w:val="Heading1"/>
    <w:rsid w:val="00EF2A77"/>
    <w:pPr>
      <w:spacing w:after="240"/>
      <w:jc w:val="center"/>
      <w:outlineLvl w:val="9"/>
    </w:pPr>
    <w:rPr>
      <w:caps/>
    </w:rPr>
  </w:style>
  <w:style w:type="paragraph" w:customStyle="1" w:styleId="Version">
    <w:name w:val="Version"/>
    <w:rsid w:val="00EF2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A77"/>
    <w:pPr>
      <w:keepNext w:val="0"/>
      <w:tabs>
        <w:tab w:val="right" w:pos="4176"/>
      </w:tabs>
      <w:ind w:left="198" w:hanging="198"/>
    </w:pPr>
    <w:rPr>
      <w:rFonts w:ascii="Garamond" w:hAnsi="Garamond"/>
    </w:rPr>
  </w:style>
  <w:style w:type="paragraph" w:styleId="IndexHeading">
    <w:name w:val="index heading"/>
    <w:basedOn w:val="Normal"/>
    <w:next w:val="Index1"/>
    <w:semiHidden/>
    <w:rsid w:val="00EF2A77"/>
    <w:pPr>
      <w:spacing w:before="120" w:after="120"/>
    </w:pPr>
    <w:rPr>
      <w:rFonts w:ascii="Arial" w:hAnsi="Arial"/>
      <w:b/>
      <w:color w:val="918585"/>
      <w:sz w:val="24"/>
    </w:rPr>
  </w:style>
  <w:style w:type="paragraph" w:styleId="Header">
    <w:name w:val="header"/>
    <w:basedOn w:val="Normal"/>
    <w:link w:val="HeaderChar"/>
    <w:rsid w:val="00EF2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A77"/>
    <w:rPr>
      <w:rFonts w:ascii="Times New Roman" w:eastAsia="Times New Roman" w:hAnsi="Times New Roman" w:cs="Times New Roman"/>
      <w:sz w:val="16"/>
      <w:szCs w:val="20"/>
      <w:lang w:val="en-GB" w:eastAsia="en-US"/>
    </w:rPr>
  </w:style>
  <w:style w:type="paragraph" w:customStyle="1" w:styleId="Chapter">
    <w:name w:val="Chapter"/>
    <w:basedOn w:val="Normal"/>
    <w:rsid w:val="00EF2A77"/>
    <w:pPr>
      <w:spacing w:before="240"/>
    </w:pPr>
    <w:rPr>
      <w:rFonts w:ascii="Times New Roman" w:hAnsi="Times New Roman"/>
      <w:smallCaps/>
      <w:spacing w:val="80"/>
      <w:sz w:val="28"/>
    </w:rPr>
  </w:style>
  <w:style w:type="paragraph" w:customStyle="1" w:styleId="InChapter">
    <w:name w:val="InChapter"/>
    <w:basedOn w:val="Heading3"/>
    <w:rsid w:val="00EF2A77"/>
    <w:pPr>
      <w:spacing w:after="240"/>
      <w:outlineLvl w:val="9"/>
    </w:pPr>
    <w:rPr>
      <w:noProof/>
    </w:rPr>
  </w:style>
  <w:style w:type="paragraph" w:styleId="Index2">
    <w:name w:val="index 2"/>
    <w:basedOn w:val="Normal"/>
    <w:next w:val="Normal"/>
    <w:semiHidden/>
    <w:rsid w:val="00EF2A77"/>
    <w:pPr>
      <w:tabs>
        <w:tab w:val="right" w:pos="4176"/>
      </w:tabs>
      <w:ind w:left="568" w:hanging="284"/>
    </w:pPr>
    <w:rPr>
      <w:rFonts w:ascii="Garamond" w:hAnsi="Garamond"/>
    </w:rPr>
  </w:style>
  <w:style w:type="paragraph" w:customStyle="1" w:styleId="Byline">
    <w:name w:val="Byline"/>
    <w:rsid w:val="00EF2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A77"/>
    <w:pPr>
      <w:tabs>
        <w:tab w:val="clear" w:pos="3600"/>
        <w:tab w:val="clear" w:pos="3958"/>
      </w:tabs>
      <w:jc w:val="right"/>
    </w:pPr>
  </w:style>
  <w:style w:type="paragraph" w:styleId="Caption">
    <w:name w:val="caption"/>
    <w:basedOn w:val="BodyText"/>
    <w:next w:val="Normal"/>
    <w:qFormat/>
    <w:rsid w:val="00EF2A77"/>
    <w:pPr>
      <w:framePr w:w="2268" w:hSpace="181" w:vSpace="181" w:wrap="around" w:vAnchor="text" w:hAnchor="page" w:x="1135" w:y="285" w:anchorLock="1"/>
    </w:pPr>
    <w:rPr>
      <w:i/>
    </w:rPr>
  </w:style>
  <w:style w:type="paragraph" w:customStyle="1" w:styleId="MiniTOCTitle">
    <w:name w:val="MiniTOCTitle"/>
    <w:basedOn w:val="Heading4"/>
    <w:rsid w:val="00EF2A77"/>
    <w:pPr>
      <w:spacing w:before="240"/>
      <w:outlineLvl w:val="9"/>
    </w:pPr>
    <w:rPr>
      <w:noProof/>
      <w:sz w:val="24"/>
    </w:rPr>
  </w:style>
  <w:style w:type="paragraph" w:customStyle="1" w:styleId="MiniTOCItem">
    <w:name w:val="MiniTOCItem"/>
    <w:basedOn w:val="ListBullet"/>
    <w:rsid w:val="00EF2A77"/>
    <w:pPr>
      <w:numPr>
        <w:numId w:val="0"/>
      </w:numPr>
      <w:tabs>
        <w:tab w:val="right" w:leader="dot" w:pos="6521"/>
      </w:tabs>
      <w:spacing w:before="0" w:after="0"/>
    </w:pPr>
  </w:style>
  <w:style w:type="paragraph" w:customStyle="1" w:styleId="TOFTitle">
    <w:name w:val="TOFTitle"/>
    <w:basedOn w:val="TOCTitle"/>
    <w:rsid w:val="00EF2A77"/>
  </w:style>
  <w:style w:type="paragraph" w:styleId="TableofFigures">
    <w:name w:val="table of figures"/>
    <w:basedOn w:val="Normal"/>
    <w:next w:val="Normal"/>
    <w:semiHidden/>
    <w:rsid w:val="00EF2A77"/>
    <w:pPr>
      <w:tabs>
        <w:tab w:val="right" w:leader="dot" w:pos="9072"/>
      </w:tabs>
      <w:ind w:left="970" w:hanging="403"/>
    </w:pPr>
    <w:rPr>
      <w:rFonts w:ascii="Times New Roman" w:hAnsi="Times New Roman"/>
      <w:b/>
    </w:rPr>
  </w:style>
  <w:style w:type="paragraph" w:styleId="ListNumber">
    <w:name w:val="List Number"/>
    <w:basedOn w:val="List"/>
    <w:rsid w:val="00EF2A77"/>
    <w:pPr>
      <w:numPr>
        <w:numId w:val="16"/>
      </w:numPr>
      <w:tabs>
        <w:tab w:val="clear" w:pos="340"/>
      </w:tabs>
    </w:pPr>
  </w:style>
  <w:style w:type="character" w:customStyle="1" w:styleId="WingdingSymbols">
    <w:name w:val="Wingding Symbols"/>
    <w:rsid w:val="00EF2A77"/>
    <w:rPr>
      <w:rFonts w:ascii="Wingdings" w:hAnsi="Wingdings"/>
    </w:rPr>
  </w:style>
  <w:style w:type="paragraph" w:customStyle="1" w:styleId="TableHeading">
    <w:name w:val="Table Heading"/>
    <w:basedOn w:val="HeadingBase"/>
    <w:rsid w:val="00EF2A77"/>
    <w:pPr>
      <w:keepLines/>
      <w:pBdr>
        <w:bottom w:val="single" w:sz="6" w:space="1" w:color="918585"/>
      </w:pBdr>
      <w:spacing w:before="240"/>
    </w:pPr>
  </w:style>
  <w:style w:type="character" w:customStyle="1" w:styleId="HotSpot">
    <w:name w:val="HotSpot"/>
    <w:rsid w:val="00EF2A77"/>
    <w:rPr>
      <w:color w:val="0033CC"/>
      <w:u w:val="none"/>
    </w:rPr>
  </w:style>
  <w:style w:type="paragraph" w:customStyle="1" w:styleId="BodyTextRight">
    <w:name w:val="Body Text Right"/>
    <w:basedOn w:val="BodyText"/>
    <w:rsid w:val="00EF2A77"/>
    <w:pPr>
      <w:spacing w:before="0" w:after="0"/>
      <w:jc w:val="right"/>
    </w:pPr>
  </w:style>
  <w:style w:type="paragraph" w:styleId="Index3">
    <w:name w:val="index 3"/>
    <w:basedOn w:val="ListNumber2"/>
    <w:next w:val="Normal"/>
    <w:semiHidden/>
    <w:rsid w:val="00EF2A77"/>
    <w:pPr>
      <w:numPr>
        <w:numId w:val="0"/>
      </w:numPr>
      <w:tabs>
        <w:tab w:val="right" w:leader="dot" w:pos="4176"/>
      </w:tabs>
    </w:pPr>
  </w:style>
  <w:style w:type="paragraph" w:styleId="ListNumber2">
    <w:name w:val="List Number 2"/>
    <w:basedOn w:val="List2"/>
    <w:rsid w:val="00EF2A77"/>
    <w:pPr>
      <w:numPr>
        <w:numId w:val="11"/>
      </w:numPr>
      <w:tabs>
        <w:tab w:val="clear" w:pos="1060"/>
      </w:tabs>
    </w:pPr>
  </w:style>
  <w:style w:type="paragraph" w:customStyle="1" w:styleId="MarginNote">
    <w:name w:val="Margin Note"/>
    <w:basedOn w:val="BodyText"/>
    <w:rsid w:val="00EF2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A77"/>
    <w:rPr>
      <w:sz w:val="32"/>
    </w:rPr>
  </w:style>
  <w:style w:type="paragraph" w:customStyle="1" w:styleId="HeadingProcedure">
    <w:name w:val="Heading Procedure"/>
    <w:basedOn w:val="HeadingBase"/>
    <w:next w:val="Normal"/>
    <w:rsid w:val="00EF2A77"/>
    <w:pPr>
      <w:tabs>
        <w:tab w:val="left" w:pos="0"/>
      </w:tabs>
      <w:spacing w:before="120" w:after="60"/>
    </w:pPr>
    <w:rPr>
      <w:i/>
      <w:color w:val="918585"/>
      <w:sz w:val="22"/>
    </w:rPr>
  </w:style>
  <w:style w:type="paragraph" w:customStyle="1" w:styleId="TableBodyText">
    <w:name w:val="Table Body Text"/>
    <w:basedOn w:val="BodyText"/>
    <w:rsid w:val="00EF2A77"/>
    <w:pPr>
      <w:spacing w:before="60" w:after="60"/>
    </w:pPr>
  </w:style>
  <w:style w:type="paragraph" w:customStyle="1" w:styleId="ListNote">
    <w:name w:val="List Note"/>
    <w:basedOn w:val="List"/>
    <w:rsid w:val="00EF2A77"/>
    <w:pPr>
      <w:pBdr>
        <w:top w:val="single" w:sz="6" w:space="2" w:color="918585"/>
        <w:bottom w:val="single" w:sz="6" w:space="2" w:color="918585"/>
      </w:pBdr>
      <w:tabs>
        <w:tab w:val="left" w:pos="1021"/>
      </w:tabs>
      <w:ind w:firstLine="0"/>
    </w:pPr>
  </w:style>
  <w:style w:type="paragraph" w:customStyle="1" w:styleId="Warning">
    <w:name w:val="Warning"/>
    <w:basedOn w:val="BodyText"/>
    <w:rsid w:val="00EF2A77"/>
    <w:pPr>
      <w:shd w:val="clear" w:color="auto" w:fill="D9D9D9"/>
      <w:tabs>
        <w:tab w:val="left" w:pos="992"/>
      </w:tabs>
      <w:ind w:left="119" w:right="119"/>
    </w:pPr>
    <w:rPr>
      <w:sz w:val="20"/>
    </w:rPr>
  </w:style>
  <w:style w:type="paragraph" w:customStyle="1" w:styleId="MarginIcons">
    <w:name w:val="Margin Icons"/>
    <w:basedOn w:val="BodyText"/>
    <w:rsid w:val="00EF2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A77"/>
    <w:rPr>
      <w:rFonts w:ascii="Courier New" w:hAnsi="Courier New"/>
    </w:rPr>
  </w:style>
  <w:style w:type="paragraph" w:customStyle="1" w:styleId="NoteBullet">
    <w:name w:val="Note Bullet"/>
    <w:basedOn w:val="Note"/>
    <w:rsid w:val="00EF2A77"/>
    <w:pPr>
      <w:tabs>
        <w:tab w:val="clear" w:pos="680"/>
      </w:tabs>
      <w:spacing w:before="60" w:after="60"/>
    </w:pPr>
  </w:style>
  <w:style w:type="paragraph" w:customStyle="1" w:styleId="SubHeading2">
    <w:name w:val="SubHeading2"/>
    <w:basedOn w:val="HeadingBase"/>
    <w:rsid w:val="00EF2A77"/>
    <w:pPr>
      <w:spacing w:before="240" w:after="60"/>
    </w:pPr>
    <w:rPr>
      <w:sz w:val="20"/>
    </w:rPr>
  </w:style>
  <w:style w:type="paragraph" w:customStyle="1" w:styleId="SubHeading1">
    <w:name w:val="SubHeading1"/>
    <w:basedOn w:val="HeadingBase"/>
    <w:rsid w:val="00EF2A77"/>
    <w:pPr>
      <w:spacing w:before="240" w:after="60"/>
    </w:pPr>
    <w:rPr>
      <w:color w:val="918585"/>
      <w:sz w:val="22"/>
    </w:rPr>
  </w:style>
  <w:style w:type="paragraph" w:customStyle="1" w:styleId="SideHeading">
    <w:name w:val="Side Heading"/>
    <w:basedOn w:val="HeadingBase"/>
    <w:rsid w:val="00EF2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A77"/>
    <w:pPr>
      <w:numPr>
        <w:numId w:val="12"/>
      </w:numPr>
    </w:pPr>
  </w:style>
  <w:style w:type="paragraph" w:styleId="PlainText">
    <w:name w:val="Plain Text"/>
    <w:basedOn w:val="Normal"/>
    <w:link w:val="PlainTextChar"/>
    <w:rsid w:val="00EF2A77"/>
    <w:rPr>
      <w:sz w:val="20"/>
    </w:rPr>
  </w:style>
  <w:style w:type="character" w:customStyle="1" w:styleId="PlainTextChar">
    <w:name w:val="Plain Text Char"/>
    <w:basedOn w:val="DefaultParagraphFont"/>
    <w:link w:val="PlainText"/>
    <w:rsid w:val="00EF2A77"/>
    <w:rPr>
      <w:rFonts w:ascii="Courier New" w:eastAsia="Times New Roman" w:hAnsi="Courier New" w:cs="Times New Roman"/>
      <w:sz w:val="20"/>
      <w:szCs w:val="20"/>
      <w:lang w:eastAsia="en-US"/>
    </w:rPr>
  </w:style>
  <w:style w:type="character" w:customStyle="1" w:styleId="MenuOption">
    <w:name w:val="Menu Option"/>
    <w:basedOn w:val="DefaultParagraphFont"/>
    <w:rsid w:val="00EF2A77"/>
    <w:rPr>
      <w:b/>
      <w:smallCaps/>
    </w:rPr>
  </w:style>
  <w:style w:type="paragraph" w:customStyle="1" w:styleId="TableListNumber">
    <w:name w:val="Table List Number"/>
    <w:basedOn w:val="ListNumber"/>
    <w:rsid w:val="00EF2A77"/>
    <w:pPr>
      <w:numPr>
        <w:numId w:val="0"/>
      </w:numPr>
    </w:pPr>
  </w:style>
  <w:style w:type="paragraph" w:styleId="TOC4">
    <w:name w:val="toc 4"/>
    <w:basedOn w:val="TOCBase"/>
    <w:next w:val="Normal"/>
    <w:semiHidden/>
    <w:rsid w:val="00EF2A77"/>
    <w:pPr>
      <w:tabs>
        <w:tab w:val="right" w:leader="dot" w:pos="9071"/>
      </w:tabs>
      <w:ind w:left="1701"/>
    </w:pPr>
  </w:style>
  <w:style w:type="paragraph" w:customStyle="1" w:styleId="ListAlpha">
    <w:name w:val="List Alpha"/>
    <w:basedOn w:val="List"/>
    <w:rsid w:val="00EF2A77"/>
    <w:pPr>
      <w:numPr>
        <w:numId w:val="10"/>
      </w:numPr>
    </w:pPr>
  </w:style>
  <w:style w:type="paragraph" w:customStyle="1" w:styleId="ListAlpha2">
    <w:name w:val="List Alpha 2"/>
    <w:basedOn w:val="List2"/>
    <w:rsid w:val="00EF2A77"/>
    <w:pPr>
      <w:numPr>
        <w:numId w:val="9"/>
      </w:numPr>
    </w:pPr>
  </w:style>
  <w:style w:type="paragraph" w:styleId="List2">
    <w:name w:val="List 2"/>
    <w:basedOn w:val="BodyText"/>
    <w:rsid w:val="00EF2A77"/>
    <w:pPr>
      <w:tabs>
        <w:tab w:val="left" w:pos="680"/>
      </w:tabs>
      <w:spacing w:before="60" w:after="60"/>
      <w:ind w:left="680" w:hanging="340"/>
    </w:pPr>
  </w:style>
  <w:style w:type="paragraph" w:styleId="List3">
    <w:name w:val="List 3"/>
    <w:basedOn w:val="BodyText"/>
    <w:rsid w:val="00EF2A77"/>
    <w:pPr>
      <w:tabs>
        <w:tab w:val="left" w:pos="1021"/>
      </w:tabs>
      <w:spacing w:before="60" w:after="60"/>
      <w:ind w:left="1020" w:hanging="340"/>
    </w:pPr>
  </w:style>
  <w:style w:type="paragraph" w:styleId="List4">
    <w:name w:val="List 4"/>
    <w:basedOn w:val="BodyText"/>
    <w:rsid w:val="00EF2A77"/>
    <w:pPr>
      <w:tabs>
        <w:tab w:val="left" w:pos="1361"/>
      </w:tabs>
      <w:spacing w:before="60" w:after="60"/>
      <w:ind w:left="1361" w:hanging="340"/>
    </w:pPr>
  </w:style>
  <w:style w:type="paragraph" w:styleId="List5">
    <w:name w:val="List 5"/>
    <w:basedOn w:val="BodyText"/>
    <w:rsid w:val="00EF2A77"/>
    <w:pPr>
      <w:tabs>
        <w:tab w:val="left" w:pos="1701"/>
      </w:tabs>
      <w:spacing w:before="60" w:after="60"/>
      <w:ind w:left="1701" w:hanging="340"/>
    </w:pPr>
  </w:style>
  <w:style w:type="paragraph" w:styleId="ListBullet4">
    <w:name w:val="List Bullet 4"/>
    <w:basedOn w:val="List4"/>
    <w:rsid w:val="00EF2A77"/>
    <w:pPr>
      <w:numPr>
        <w:numId w:val="4"/>
      </w:numPr>
      <w:tabs>
        <w:tab w:val="clear" w:pos="1361"/>
      </w:tabs>
    </w:pPr>
  </w:style>
  <w:style w:type="paragraph" w:styleId="ListBullet5">
    <w:name w:val="List Bullet 5"/>
    <w:basedOn w:val="List5"/>
    <w:rsid w:val="00EF2A77"/>
    <w:pPr>
      <w:numPr>
        <w:numId w:val="5"/>
      </w:numPr>
    </w:pPr>
  </w:style>
  <w:style w:type="paragraph" w:styleId="ListContinue2">
    <w:name w:val="List Continue 2"/>
    <w:basedOn w:val="List2"/>
    <w:rsid w:val="00EF2A77"/>
    <w:pPr>
      <w:ind w:firstLine="0"/>
    </w:pPr>
  </w:style>
  <w:style w:type="paragraph" w:styleId="ListContinue3">
    <w:name w:val="List Continue 3"/>
    <w:basedOn w:val="List3"/>
    <w:rsid w:val="00EF2A77"/>
    <w:pPr>
      <w:ind w:left="1021" w:firstLine="0"/>
    </w:pPr>
  </w:style>
  <w:style w:type="paragraph" w:styleId="ListContinue4">
    <w:name w:val="List Continue 4"/>
    <w:basedOn w:val="List4"/>
    <w:rsid w:val="00EF2A77"/>
    <w:pPr>
      <w:ind w:firstLine="0"/>
    </w:pPr>
  </w:style>
  <w:style w:type="paragraph" w:styleId="ListContinue5">
    <w:name w:val="List Continue 5"/>
    <w:basedOn w:val="List5"/>
    <w:rsid w:val="00EF2A77"/>
    <w:pPr>
      <w:ind w:firstLine="0"/>
    </w:pPr>
  </w:style>
  <w:style w:type="paragraph" w:styleId="ListNumber3">
    <w:name w:val="List Number 3"/>
    <w:basedOn w:val="List3"/>
    <w:rsid w:val="00EF2A77"/>
    <w:pPr>
      <w:numPr>
        <w:numId w:val="6"/>
      </w:numPr>
    </w:pPr>
  </w:style>
  <w:style w:type="paragraph" w:styleId="ListNumber4">
    <w:name w:val="List Number 4"/>
    <w:basedOn w:val="List4"/>
    <w:rsid w:val="00EF2A77"/>
    <w:pPr>
      <w:numPr>
        <w:numId w:val="7"/>
      </w:numPr>
    </w:pPr>
  </w:style>
  <w:style w:type="paragraph" w:styleId="ListNumber5">
    <w:name w:val="List Number 5"/>
    <w:basedOn w:val="List5"/>
    <w:rsid w:val="00EF2A77"/>
    <w:pPr>
      <w:numPr>
        <w:numId w:val="8"/>
      </w:numPr>
    </w:pPr>
  </w:style>
  <w:style w:type="paragraph" w:styleId="BlockText">
    <w:name w:val="Block Text"/>
    <w:basedOn w:val="Normal"/>
    <w:rsid w:val="00EF2A77"/>
    <w:pPr>
      <w:spacing w:after="120"/>
      <w:ind w:left="1440" w:right="1440"/>
    </w:pPr>
  </w:style>
  <w:style w:type="character" w:customStyle="1" w:styleId="Subscript">
    <w:name w:val="Subscript"/>
    <w:basedOn w:val="DefaultParagraphFont"/>
    <w:rsid w:val="00EF2A77"/>
    <w:rPr>
      <w:sz w:val="16"/>
      <w:vertAlign w:val="subscript"/>
    </w:rPr>
  </w:style>
  <w:style w:type="character" w:customStyle="1" w:styleId="Superscript">
    <w:name w:val="Superscript"/>
    <w:basedOn w:val="DefaultParagraphFont"/>
    <w:rsid w:val="00EF2A77"/>
    <w:rPr>
      <w:sz w:val="16"/>
      <w:vertAlign w:val="superscript"/>
    </w:rPr>
  </w:style>
  <w:style w:type="character" w:customStyle="1" w:styleId="Symbols">
    <w:name w:val="Symbols"/>
    <w:basedOn w:val="DefaultParagraphFont"/>
    <w:rsid w:val="00EF2A77"/>
    <w:rPr>
      <w:rFonts w:ascii="Symbol" w:hAnsi="Symbol"/>
    </w:rPr>
  </w:style>
  <w:style w:type="character" w:customStyle="1" w:styleId="MenuOptions">
    <w:name w:val="Menu Options"/>
    <w:basedOn w:val="DefaultParagraphFont"/>
    <w:rsid w:val="00EF2A77"/>
    <w:rPr>
      <w:rFonts w:ascii="Arial Narrow" w:hAnsi="Arial Narrow"/>
      <w:smallCaps/>
    </w:rPr>
  </w:style>
  <w:style w:type="character" w:customStyle="1" w:styleId="Buttons">
    <w:name w:val="Buttons"/>
    <w:basedOn w:val="DefaultParagraphFont"/>
    <w:rsid w:val="00EF2A77"/>
    <w:rPr>
      <w:b/>
    </w:rPr>
  </w:style>
  <w:style w:type="character" w:customStyle="1" w:styleId="Underlined">
    <w:name w:val="Underlined"/>
    <w:basedOn w:val="DefaultParagraphFont"/>
    <w:rsid w:val="00EF2A77"/>
    <w:rPr>
      <w:u w:val="single"/>
    </w:rPr>
  </w:style>
  <w:style w:type="paragraph" w:customStyle="1" w:styleId="TableBodyTextRight">
    <w:name w:val="Table Body Text Right"/>
    <w:basedOn w:val="TableBodyText"/>
    <w:rsid w:val="00EF2A77"/>
    <w:pPr>
      <w:widowControl w:val="0"/>
      <w:autoSpaceDE w:val="0"/>
      <w:autoSpaceDN w:val="0"/>
      <w:adjustRightInd w:val="0"/>
      <w:jc w:val="right"/>
    </w:pPr>
    <w:rPr>
      <w:rFonts w:cs="Arial"/>
      <w:szCs w:val="18"/>
    </w:rPr>
  </w:style>
  <w:style w:type="paragraph" w:customStyle="1" w:styleId="CopyrightText">
    <w:name w:val="Copyright Text"/>
    <w:basedOn w:val="BodyText"/>
    <w:rsid w:val="00EF2A77"/>
    <w:rPr>
      <w:sz w:val="18"/>
    </w:rPr>
  </w:style>
  <w:style w:type="paragraph" w:customStyle="1" w:styleId="BodySmallRight">
    <w:name w:val="Body Small Right"/>
    <w:basedOn w:val="BodyTextRight"/>
    <w:rsid w:val="00EF2A77"/>
    <w:rPr>
      <w:sz w:val="18"/>
      <w:szCs w:val="18"/>
    </w:rPr>
  </w:style>
  <w:style w:type="paragraph" w:customStyle="1" w:styleId="MarginEdition">
    <w:name w:val="Margin Edition"/>
    <w:basedOn w:val="MarginNote"/>
    <w:rsid w:val="00EF2A77"/>
    <w:pPr>
      <w:spacing w:before="0" w:after="0"/>
    </w:pPr>
    <w:rPr>
      <w:rFonts w:ascii="Times New Roman" w:hAnsi="Times New Roman"/>
      <w:color w:val="999999"/>
    </w:rPr>
  </w:style>
  <w:style w:type="paragraph" w:customStyle="1" w:styleId="Spacer">
    <w:name w:val="Spacer"/>
    <w:basedOn w:val="Normal"/>
    <w:rsid w:val="00EF2A77"/>
    <w:rPr>
      <w:sz w:val="2"/>
      <w:szCs w:val="2"/>
    </w:rPr>
  </w:style>
  <w:style w:type="character" w:customStyle="1" w:styleId="Small">
    <w:name w:val="Small"/>
    <w:basedOn w:val="DefaultParagraphFont"/>
    <w:rsid w:val="00EF2A77"/>
    <w:rPr>
      <w:sz w:val="16"/>
    </w:rPr>
  </w:style>
  <w:style w:type="paragraph" w:customStyle="1" w:styleId="WideTable">
    <w:name w:val="Wide Table"/>
    <w:basedOn w:val="Normal"/>
    <w:rsid w:val="00EF2A77"/>
    <w:pPr>
      <w:ind w:left="-1418"/>
    </w:pPr>
    <w:rPr>
      <w:sz w:val="2"/>
      <w:szCs w:val="2"/>
    </w:rPr>
  </w:style>
  <w:style w:type="character" w:styleId="PageNumber">
    <w:name w:val="page number"/>
    <w:basedOn w:val="DefaultParagraphFont"/>
    <w:rsid w:val="00EF2A77"/>
  </w:style>
  <w:style w:type="paragraph" w:styleId="Quote">
    <w:name w:val="Quote"/>
    <w:basedOn w:val="Heading1"/>
    <w:link w:val="QuoteChar"/>
    <w:qFormat/>
    <w:rsid w:val="00EF2A77"/>
    <w:rPr>
      <w:b w:val="0"/>
      <w:sz w:val="72"/>
      <w:szCs w:val="72"/>
      <w:lang w:val="en-NZ"/>
    </w:rPr>
  </w:style>
  <w:style w:type="character" w:customStyle="1" w:styleId="QuoteChar">
    <w:name w:val="Quote Char"/>
    <w:basedOn w:val="DefaultParagraphFont"/>
    <w:link w:val="Quote"/>
    <w:rsid w:val="00EF2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A77"/>
    <w:pPr>
      <w:pageBreakBefore/>
    </w:pPr>
  </w:style>
  <w:style w:type="paragraph" w:customStyle="1" w:styleId="Border">
    <w:name w:val="Border"/>
    <w:basedOn w:val="Normal"/>
    <w:qFormat/>
    <w:rsid w:val="00EF2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A77"/>
    <w:rPr>
      <w:b/>
      <w:bCs/>
      <w:i/>
      <w:iCs/>
      <w:color w:val="auto"/>
    </w:rPr>
  </w:style>
  <w:style w:type="paragraph" w:styleId="IntenseQuote">
    <w:name w:val="Intense Quote"/>
    <w:basedOn w:val="Normal"/>
    <w:next w:val="Normal"/>
    <w:link w:val="IntenseQuoteChar"/>
    <w:uiPriority w:val="30"/>
    <w:qFormat/>
    <w:rsid w:val="00EF2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A77"/>
    <w:rPr>
      <w:smallCaps/>
      <w:color w:val="auto"/>
      <w:u w:val="single"/>
    </w:rPr>
  </w:style>
  <w:style w:type="character" w:styleId="IntenseReference">
    <w:name w:val="Intense Reference"/>
    <w:basedOn w:val="DefaultParagraphFont"/>
    <w:uiPriority w:val="32"/>
    <w:qFormat/>
    <w:rsid w:val="00EF2A77"/>
    <w:rPr>
      <w:b/>
      <w:bCs/>
      <w:smallCaps/>
      <w:color w:val="auto"/>
      <w:spacing w:val="5"/>
      <w:u w:val="single"/>
    </w:rPr>
  </w:style>
  <w:style w:type="paragraph" w:customStyle="1" w:styleId="2ColumnHeading">
    <w:name w:val="2Column Heading"/>
    <w:basedOn w:val="BodyText"/>
    <w:qFormat/>
    <w:rsid w:val="00EF2A77"/>
    <w:pPr>
      <w:spacing w:after="60"/>
      <w:ind w:left="-2268"/>
    </w:pPr>
    <w:rPr>
      <w:b/>
    </w:rPr>
  </w:style>
  <w:style w:type="paragraph" w:customStyle="1" w:styleId="Heading1TOC">
    <w:name w:val="Heading1 TOC"/>
    <w:basedOn w:val="Normal"/>
    <w:qFormat/>
    <w:rsid w:val="00EF2A77"/>
    <w:pPr>
      <w:spacing w:before="240" w:after="120"/>
    </w:pPr>
    <w:rPr>
      <w:rFonts w:ascii="Times New Roman" w:hAnsi="Times New Roman"/>
      <w:b/>
      <w:sz w:val="32"/>
    </w:rPr>
  </w:style>
  <w:style w:type="paragraph" w:customStyle="1" w:styleId="Heading2TOC">
    <w:name w:val="Heading2 TOC"/>
    <w:basedOn w:val="Normal"/>
    <w:qFormat/>
    <w:rsid w:val="00EF2A77"/>
    <w:pPr>
      <w:spacing w:before="240" w:after="60"/>
    </w:pPr>
    <w:rPr>
      <w:rFonts w:ascii="Times New Roman" w:hAnsi="Times New Roman"/>
      <w:b/>
      <w:sz w:val="28"/>
    </w:rPr>
  </w:style>
  <w:style w:type="character" w:customStyle="1" w:styleId="Underline">
    <w:name w:val="Underline"/>
    <w:basedOn w:val="DefaultParagraphFont"/>
    <w:qFormat/>
    <w:rsid w:val="00EF2A77"/>
    <w:rPr>
      <w:u w:val="single"/>
    </w:rPr>
  </w:style>
  <w:style w:type="character" w:customStyle="1" w:styleId="BoldandItalics">
    <w:name w:val="Bold and Italics"/>
    <w:qFormat/>
    <w:rsid w:val="00EF2A77"/>
    <w:rPr>
      <w:b/>
      <w:i/>
      <w:u w:val="none"/>
    </w:rPr>
  </w:style>
  <w:style w:type="paragraph" w:styleId="BalloonText">
    <w:name w:val="Balloon Text"/>
    <w:basedOn w:val="Normal"/>
    <w:link w:val="BalloonTextChar"/>
    <w:rsid w:val="00EF2A77"/>
    <w:rPr>
      <w:rFonts w:ascii="Tahoma" w:hAnsi="Tahoma" w:cs="Tahoma"/>
      <w:sz w:val="16"/>
      <w:szCs w:val="16"/>
    </w:rPr>
  </w:style>
  <w:style w:type="character" w:customStyle="1" w:styleId="BalloonTextChar">
    <w:name w:val="Balloon Text Char"/>
    <w:basedOn w:val="DefaultParagraphFont"/>
    <w:link w:val="BalloonText"/>
    <w:rsid w:val="00EF2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A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A77"/>
    <w:rPr>
      <w:b/>
      <w:color w:val="660033"/>
      <w:spacing w:val="0"/>
    </w:rPr>
  </w:style>
  <w:style w:type="paragraph" w:customStyle="1" w:styleId="Nameditemlist">
    <w:name w:val="Named item list"/>
    <w:basedOn w:val="BodyText"/>
    <w:qFormat/>
    <w:rsid w:val="00EF2A77"/>
    <w:pPr>
      <w:tabs>
        <w:tab w:val="left" w:pos="2835"/>
      </w:tabs>
      <w:ind w:left="2835" w:hanging="2835"/>
    </w:pPr>
  </w:style>
  <w:style w:type="paragraph" w:customStyle="1" w:styleId="BodyTextnopadding">
    <w:name w:val="Body Text no padding"/>
    <w:basedOn w:val="BodyText"/>
    <w:qFormat/>
    <w:rsid w:val="00EF2A77"/>
    <w:pPr>
      <w:spacing w:before="0" w:after="0"/>
    </w:pPr>
  </w:style>
  <w:style w:type="paragraph" w:customStyle="1" w:styleId="BodyTextBold">
    <w:name w:val="Body Text Bold"/>
    <w:basedOn w:val="BodyText"/>
    <w:qFormat/>
    <w:rsid w:val="00EF2A77"/>
    <w:rPr>
      <w:b/>
    </w:rPr>
  </w:style>
  <w:style w:type="character" w:styleId="Hyperlink">
    <w:name w:val="Hyperlink"/>
    <w:basedOn w:val="DefaultParagraphFont"/>
    <w:uiPriority w:val="99"/>
    <w:unhideWhenUsed/>
    <w:rsid w:val="00111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8429</Characters>
  <Application>Microsoft Office Word</Application>
  <DocSecurity>0</DocSecurity>
  <Lines>301</Lines>
  <Paragraphs>241</Paragraphs>
  <ScaleCrop>false</ScaleCrop>
  <Company>Author-it Software Corporation Ltd.</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HLTMSG002 Assess client massage needs</dc:title>
  <dc:subject>Approved</dc:subject>
  <dc:creator>HumanAbility</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