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782" w:rsidP="005B2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HLTMSG002 Assess client massage needs</w:t>
      </w:r>
      <w:r>
        <w:fldChar w:fldCharType="end"/>
      </w:r>
    </w:p>
    <w:p w:rsidR="005B2782" w:rsidP="005B2782">
      <w:pPr>
        <w:pStyle w:val="Version"/>
        <w:sectPr w:rsidSect="00090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A13" w:rsidP="00090A13">
      <w:pPr>
        <w:pStyle w:val="SuperHeading"/>
      </w:pPr>
      <w:r w:rsidRPr="00090A13">
        <w:t>Assessment Requirements for HLTMSG002 Assess client massage needs</w:t>
      </w:r>
    </w:p>
    <w:p w:rsidR="00000000" w:rsidRPr="00090A13" w:rsidP="00090A13">
      <w:pPr>
        <w:pStyle w:val="Heading1"/>
      </w:pPr>
      <w:bookmarkStart w:id="1" w:name="O_656805"/>
      <w:bookmarkEnd w:id="1"/>
      <w:r w:rsidRPr="00090A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9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13" w:rsidP="00090A13">
            <w:pPr>
              <w:pStyle w:val="BodyText"/>
            </w:pPr>
            <w:r w:rsidRPr="00090A1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13">
            <w:pPr>
              <w:pStyle w:val="BodyText"/>
              <w:rPr>
                <w:lang w:val="en-NZ"/>
              </w:rPr>
            </w:pPr>
            <w:r w:rsidRPr="00090A13">
              <w:rPr>
                <w:rStyle w:val="SpecialBold"/>
              </w:rPr>
              <w:t>Comments</w:t>
            </w:r>
          </w:p>
        </w:tc>
      </w:tr>
      <w:tr w:rsidTr="00090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13">
            <w:pPr>
              <w:pStyle w:val="BodyText"/>
              <w:rPr>
                <w:lang w:val="en-NZ"/>
              </w:rPr>
            </w:pPr>
            <w:r w:rsidRPr="00090A1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13" w:rsidP="00090A13">
            <w:pPr>
              <w:pStyle w:val="BodyText"/>
            </w:pPr>
            <w:r w:rsidRPr="00090A13">
              <w:t xml:space="preserve">This version was released in </w:t>
            </w:r>
            <w:r w:rsidRPr="00090A13">
              <w:rPr>
                <w:rStyle w:val="Emphasis"/>
              </w:rPr>
              <w:t>HLT Health Training Package release 2.0</w:t>
            </w:r>
            <w:r w:rsidRPr="00090A13">
              <w:t xml:space="preserve"> and meets the requirements of the 2012 Sta</w:t>
            </w:r>
            <w:r w:rsidRPr="00090A13">
              <w:t>ndards for Training Packages.</w:t>
            </w:r>
          </w:p>
          <w:p w:rsidR="00000000" w:rsidRPr="00090A13" w:rsidP="00090A13">
            <w:pPr>
              <w:pStyle w:val="BodyText"/>
            </w:pPr>
            <w:r w:rsidRPr="00090A13">
              <w:t>Merged HLTREM407C/HLTREM408C/HLTREM409C. Significant changes to the elements and performance criteria. New evidence requirements for assessment, including volume and frequency requirements. Significant change to knowledge evid</w:t>
            </w:r>
            <w:r w:rsidRPr="00090A13">
              <w:t>ence. Minimum clinic hours added. Additional assessor requirements.</w:t>
            </w:r>
          </w:p>
        </w:tc>
      </w:tr>
    </w:tbl>
    <w:p w:rsidR="00000000" w:rsidRPr="00090A13" w:rsidP="00090A13">
      <w:pPr>
        <w:pStyle w:val="BodyText"/>
      </w:pPr>
    </w:p>
    <w:p w:rsidR="00000000" w:rsidRPr="00090A13" w:rsidP="00090A13">
      <w:pPr>
        <w:pStyle w:val="AllowPageBreak"/>
      </w:pPr>
    </w:p>
    <w:p w:rsidR="00000000" w:rsidRPr="00090A13" w:rsidP="00090A13">
      <w:pPr>
        <w:pStyle w:val="Heading1"/>
      </w:pPr>
      <w:bookmarkStart w:id="2" w:name="O_656806"/>
      <w:bookmarkEnd w:id="2"/>
      <w:r w:rsidRPr="00090A13">
        <w:t>Performance Evidence</w:t>
      </w:r>
    </w:p>
    <w:p w:rsidR="00000000" w:rsidRPr="00090A13" w:rsidP="005B2782">
      <w:pPr>
        <w:pStyle w:val="BodyText"/>
      </w:pPr>
      <w:r w:rsidRPr="00090A13">
        <w:t>The candidate must show evidence of the ability to complete tasks outlined in elements and performance criteria of this unit, manage tasks and manag</w:t>
      </w:r>
      <w:r w:rsidRPr="00090A13">
        <w:t>e contingencies in the context of the job role. There must be evidence that the candidate has:</w:t>
      </w:r>
    </w:p>
    <w:p w:rsidR="00000000" w:rsidRPr="00090A13" w:rsidP="00090A13">
      <w:pPr>
        <w:pStyle w:val="ListBullet"/>
      </w:pPr>
      <w:r w:rsidRPr="00090A13">
        <w:t>performed the activities outlined in the performance criteria of this unit during a period of at least 80 hours of massage client consultation work</w:t>
      </w:r>
    </w:p>
    <w:p w:rsidR="00000000" w:rsidRPr="00090A13" w:rsidP="00090A13">
      <w:pPr>
        <w:pStyle w:val="ListBullet"/>
      </w:pPr>
      <w:r w:rsidRPr="00090A13">
        <w:t>prepared for</w:t>
      </w:r>
      <w:r w:rsidRPr="00090A13">
        <w:t xml:space="preserve"> and managed at least 40 massage assessments - clients must include males and females from different stages of life with varied presentations</w:t>
      </w:r>
    </w:p>
    <w:p w:rsidR="00000000" w:rsidRPr="00090A13" w:rsidP="00090A13">
      <w:pPr>
        <w:pStyle w:val="ListBullet"/>
      </w:pPr>
      <w:r w:rsidRPr="00090A13">
        <w:t xml:space="preserve">completed physical assessments using palpation, observation and active, passive and resisted ROM testing </w:t>
      </w:r>
    </w:p>
    <w:p w:rsidR="00000000" w:rsidRPr="00090A13" w:rsidP="00090A13">
      <w:pPr>
        <w:pStyle w:val="ListBullet"/>
      </w:pPr>
      <w:r w:rsidRPr="00090A13">
        <w:t>interacted effectively with clients:</w:t>
      </w:r>
    </w:p>
    <w:p w:rsidR="00000000" w:rsidRPr="00090A13" w:rsidP="00090A13">
      <w:pPr>
        <w:pStyle w:val="ListBullet2"/>
      </w:pPr>
      <w:r w:rsidRPr="00090A13">
        <w:t>clearly articulated information about services, treatment options and rationale</w:t>
      </w:r>
    </w:p>
    <w:p w:rsidR="00000000" w:rsidRPr="00090A13" w:rsidP="00090A13">
      <w:pPr>
        <w:pStyle w:val="ListBullet2"/>
      </w:pPr>
      <w:r w:rsidRPr="00090A13">
        <w:t>engaged clients in decision making</w:t>
      </w:r>
    </w:p>
    <w:p w:rsidR="00000000" w:rsidRPr="00090A13" w:rsidP="00090A13">
      <w:pPr>
        <w:pStyle w:val="AllowPageBreak"/>
      </w:pPr>
    </w:p>
    <w:p w:rsidR="00000000" w:rsidRPr="00090A13" w:rsidP="00090A13">
      <w:pPr>
        <w:pStyle w:val="Heading1"/>
      </w:pPr>
      <w:bookmarkStart w:id="3" w:name="O_656807"/>
      <w:bookmarkEnd w:id="3"/>
      <w:r w:rsidRPr="00090A13">
        <w:t>Knowledge Evidence</w:t>
      </w:r>
    </w:p>
    <w:p w:rsidR="00000000" w:rsidRPr="00090A13" w:rsidP="005B2782">
      <w:pPr>
        <w:pStyle w:val="BodyText"/>
      </w:pPr>
      <w:r w:rsidRPr="00090A13">
        <w:t>The candidate must be able to demonstrate essential knowledge requi</w:t>
      </w:r>
      <w:r w:rsidRPr="00090A13">
        <w:t>red to effectively complete tasks outlined in elements and performance criteria of this unit, manage tasks and manage contingencies in the context of the work role. This includes knowledge of:</w:t>
      </w:r>
    </w:p>
    <w:p w:rsidR="00000000" w:rsidRPr="00090A13" w:rsidP="00090A13">
      <w:pPr>
        <w:pStyle w:val="ListBullet"/>
      </w:pPr>
      <w:r w:rsidRPr="00090A13">
        <w:t>legal and ethical considerations (national and state/territory</w:t>
      </w:r>
      <w:r w:rsidRPr="00090A13">
        <w:t>) for client assessment:</w:t>
      </w:r>
    </w:p>
    <w:p w:rsidR="00000000" w:rsidRPr="00090A13" w:rsidP="00090A13">
      <w:pPr>
        <w:pStyle w:val="ListBullet2"/>
      </w:pPr>
      <w:r w:rsidRPr="00090A13">
        <w:t>codes of conduct</w:t>
      </w:r>
    </w:p>
    <w:p w:rsidR="00000000" w:rsidRPr="00090A13" w:rsidP="00090A13">
      <w:pPr>
        <w:pStyle w:val="ListBullet2"/>
      </w:pPr>
      <w:r w:rsidRPr="00090A13">
        <w:t>duty of care</w:t>
      </w:r>
    </w:p>
    <w:p w:rsidR="00000000" w:rsidRPr="00090A13" w:rsidP="00090A13">
      <w:pPr>
        <w:pStyle w:val="ListBullet2"/>
      </w:pPr>
      <w:r w:rsidRPr="00090A13">
        <w:t>informed consent</w:t>
      </w:r>
    </w:p>
    <w:p w:rsidR="00000000" w:rsidRPr="00090A13" w:rsidP="00090A13">
      <w:pPr>
        <w:pStyle w:val="ListBullet2"/>
      </w:pPr>
      <w:r w:rsidRPr="00090A13">
        <w:t>mandatory reporting</w:t>
      </w:r>
    </w:p>
    <w:p w:rsidR="00000000" w:rsidRPr="00090A13" w:rsidP="00090A13">
      <w:pPr>
        <w:pStyle w:val="ListBullet2"/>
      </w:pPr>
      <w:r w:rsidRPr="00090A13">
        <w:t xml:space="preserve">practitioner/client boundaries </w:t>
      </w:r>
    </w:p>
    <w:p w:rsidR="00000000" w:rsidRPr="00090A13" w:rsidP="00090A13">
      <w:pPr>
        <w:pStyle w:val="ListBullet2"/>
      </w:pPr>
      <w:r w:rsidRPr="00090A13">
        <w:t>privacy, confidentiality and disclosure</w:t>
      </w:r>
    </w:p>
    <w:p w:rsidR="00000000" w:rsidRPr="00090A13" w:rsidP="00090A13">
      <w:pPr>
        <w:pStyle w:val="ListBullet2"/>
      </w:pPr>
      <w:r w:rsidRPr="00090A13">
        <w:t>records management</w:t>
      </w:r>
    </w:p>
    <w:p w:rsidR="00000000" w:rsidRPr="00090A13" w:rsidP="00090A13">
      <w:pPr>
        <w:pStyle w:val="ListBullet2"/>
      </w:pPr>
      <w:r w:rsidRPr="00090A13">
        <w:t>working role boundaries</w:t>
      </w:r>
    </w:p>
    <w:p w:rsidR="00000000" w:rsidRPr="00090A13" w:rsidP="00090A13">
      <w:pPr>
        <w:pStyle w:val="ListBullet3"/>
      </w:pPr>
      <w:r w:rsidRPr="00090A13">
        <w:t>working within scope of practice</w:t>
      </w:r>
    </w:p>
    <w:p w:rsidR="00000000" w:rsidRPr="00090A13" w:rsidP="00090A13">
      <w:pPr>
        <w:pStyle w:val="ListBullet3"/>
      </w:pPr>
      <w:r w:rsidRPr="00090A13">
        <w:t>prese</w:t>
      </w:r>
      <w:r w:rsidRPr="00090A13">
        <w:t>nting symptoms that require referral to a medical practitioner</w:t>
      </w:r>
    </w:p>
    <w:p w:rsidR="00000000" w:rsidRPr="00090A13" w:rsidP="00090A13">
      <w:pPr>
        <w:pStyle w:val="ListBullet2"/>
      </w:pPr>
      <w:r w:rsidRPr="00090A13">
        <w:t>work health and safety</w:t>
      </w:r>
    </w:p>
    <w:p w:rsidR="00000000" w:rsidRPr="00090A13" w:rsidP="00090A13">
      <w:pPr>
        <w:pStyle w:val="ListBullet"/>
      </w:pPr>
      <w:r w:rsidRPr="00090A13">
        <w:t xml:space="preserve">referral options for massage practitioners, including: </w:t>
      </w:r>
    </w:p>
    <w:p w:rsidR="00000000" w:rsidRPr="00090A13" w:rsidP="00090A13">
      <w:pPr>
        <w:pStyle w:val="ListBullet2"/>
      </w:pPr>
      <w:r w:rsidRPr="00090A13">
        <w:t>professional health services including complementary health modalities</w:t>
      </w:r>
    </w:p>
    <w:p w:rsidR="00000000" w:rsidRPr="00090A13" w:rsidP="00090A13">
      <w:pPr>
        <w:pStyle w:val="ListBullet2"/>
      </w:pPr>
      <w:r w:rsidRPr="00090A13">
        <w:t>community resources and support services</w:t>
      </w:r>
      <w:r w:rsidRPr="00090A13">
        <w:t xml:space="preserve"> </w:t>
      </w:r>
    </w:p>
    <w:p w:rsidR="00000000" w:rsidRPr="00090A13" w:rsidP="00090A13">
      <w:pPr>
        <w:pStyle w:val="ListBullet"/>
      </w:pPr>
      <w:r w:rsidRPr="00090A13">
        <w:t>factors and barriers that may impact on massage assessment:</w:t>
      </w:r>
    </w:p>
    <w:p w:rsidR="00000000" w:rsidRPr="00090A13" w:rsidP="00090A13">
      <w:pPr>
        <w:pStyle w:val="ListBullet2"/>
      </w:pPr>
      <w:r w:rsidRPr="00090A13">
        <w:t>physical</w:t>
      </w:r>
    </w:p>
    <w:p w:rsidR="00000000" w:rsidRPr="00090A13" w:rsidP="00090A13">
      <w:pPr>
        <w:pStyle w:val="ListBullet2"/>
      </w:pPr>
      <w:r w:rsidRPr="00090A13">
        <w:t>psychological</w:t>
      </w:r>
    </w:p>
    <w:p w:rsidR="00000000" w:rsidRPr="00090A13" w:rsidP="00090A13">
      <w:pPr>
        <w:pStyle w:val="ListBullet2"/>
      </w:pPr>
      <w:r w:rsidRPr="00090A13">
        <w:t>cultural</w:t>
      </w:r>
    </w:p>
    <w:p w:rsidR="00000000" w:rsidRPr="00090A13" w:rsidP="00090A13">
      <w:pPr>
        <w:pStyle w:val="ListBullet"/>
      </w:pPr>
      <w:r w:rsidRPr="00090A13">
        <w:t>factors that affect individual health status:</w:t>
      </w:r>
    </w:p>
    <w:p w:rsidR="00000000" w:rsidRPr="00090A13" w:rsidP="00090A13">
      <w:pPr>
        <w:pStyle w:val="ListBullet2"/>
      </w:pPr>
      <w:r w:rsidRPr="00090A13">
        <w:t>age</w:t>
      </w:r>
    </w:p>
    <w:p w:rsidR="00000000" w:rsidRPr="00090A13" w:rsidP="00090A13">
      <w:pPr>
        <w:pStyle w:val="ListBullet2"/>
      </w:pPr>
      <w:r w:rsidRPr="00090A13">
        <w:t>gender</w:t>
      </w:r>
    </w:p>
    <w:p w:rsidR="00000000" w:rsidRPr="00090A13" w:rsidP="00090A13">
      <w:pPr>
        <w:pStyle w:val="ListBullet2"/>
      </w:pPr>
      <w:r w:rsidRPr="00090A13">
        <w:t>constitution</w:t>
      </w:r>
    </w:p>
    <w:p w:rsidR="00000000" w:rsidRPr="00090A13" w:rsidP="00090A13">
      <w:pPr>
        <w:pStyle w:val="ListBullet2"/>
      </w:pPr>
      <w:r w:rsidRPr="00090A13">
        <w:t>lifestyle</w:t>
      </w:r>
    </w:p>
    <w:p w:rsidR="00000000" w:rsidRPr="00090A13" w:rsidP="00090A13">
      <w:pPr>
        <w:pStyle w:val="ListBullet2"/>
      </w:pPr>
      <w:r w:rsidRPr="00090A13">
        <w:t>diet</w:t>
      </w:r>
    </w:p>
    <w:p w:rsidR="00000000" w:rsidRPr="00090A13" w:rsidP="00090A13">
      <w:pPr>
        <w:pStyle w:val="ListBullet2"/>
      </w:pPr>
      <w:r w:rsidRPr="00090A13">
        <w:t>personal and medical history</w:t>
      </w:r>
    </w:p>
    <w:p w:rsidR="00000000" w:rsidRPr="00090A13" w:rsidP="00090A13">
      <w:pPr>
        <w:pStyle w:val="ListBullet2"/>
      </w:pPr>
      <w:r w:rsidRPr="00090A13">
        <w:t>values and attitudes</w:t>
      </w:r>
    </w:p>
    <w:p w:rsidR="00000000" w:rsidRPr="00090A13" w:rsidP="00090A13">
      <w:pPr>
        <w:pStyle w:val="ListBullet2"/>
      </w:pPr>
      <w:r w:rsidRPr="00090A13">
        <w:t>balance of rest and activity</w:t>
      </w:r>
    </w:p>
    <w:p w:rsidR="00000000" w:rsidRPr="00090A13" w:rsidP="00090A13">
      <w:pPr>
        <w:pStyle w:val="ListBullet2"/>
      </w:pPr>
      <w:r w:rsidRPr="00090A13">
        <w:t>physical environment</w:t>
      </w:r>
    </w:p>
    <w:p w:rsidR="00000000" w:rsidRPr="00090A13" w:rsidP="00090A13">
      <w:pPr>
        <w:pStyle w:val="ListBullet2"/>
      </w:pPr>
      <w:r w:rsidRPr="00090A13">
        <w:t>social environment</w:t>
      </w:r>
    </w:p>
    <w:p w:rsidR="00000000" w:rsidRPr="00090A13" w:rsidP="00090A13">
      <w:pPr>
        <w:pStyle w:val="ListBullet"/>
      </w:pPr>
      <w:r w:rsidRPr="00090A13">
        <w:t>client information required prior to physical assessment, including:</w:t>
      </w:r>
    </w:p>
    <w:p w:rsidR="00000000" w:rsidRPr="00090A13" w:rsidP="00090A13">
      <w:pPr>
        <w:pStyle w:val="ListBullet2"/>
      </w:pPr>
      <w:r w:rsidRPr="00090A13">
        <w:t>case history</w:t>
      </w:r>
    </w:p>
    <w:p w:rsidR="00000000" w:rsidRPr="00090A13" w:rsidP="00090A13">
      <w:pPr>
        <w:pStyle w:val="ListBullet2"/>
      </w:pPr>
      <w:r w:rsidRPr="00090A13">
        <w:t>client expectations</w:t>
      </w:r>
    </w:p>
    <w:p w:rsidR="00000000" w:rsidRPr="00090A13" w:rsidP="00090A13">
      <w:pPr>
        <w:pStyle w:val="ListBullet"/>
      </w:pPr>
      <w:r w:rsidRPr="00090A13">
        <w:t>considerations for performing physical massage assessments:</w:t>
      </w:r>
    </w:p>
    <w:p w:rsidR="00000000" w:rsidRPr="00090A13" w:rsidP="00090A13">
      <w:pPr>
        <w:pStyle w:val="ListBullet2"/>
      </w:pPr>
      <w:r w:rsidRPr="00090A13">
        <w:t>environment</w:t>
      </w:r>
    </w:p>
    <w:p w:rsidR="00000000" w:rsidRPr="00090A13" w:rsidP="00090A13">
      <w:pPr>
        <w:pStyle w:val="ListBullet2"/>
      </w:pPr>
      <w:r w:rsidRPr="00090A13">
        <w:t>equipment</w:t>
      </w:r>
    </w:p>
    <w:p w:rsidR="00000000" w:rsidRPr="00090A13" w:rsidP="00090A13">
      <w:pPr>
        <w:pStyle w:val="ListBullet2"/>
      </w:pPr>
      <w:r w:rsidRPr="00090A13">
        <w:t>client privacy</w:t>
      </w:r>
    </w:p>
    <w:p w:rsidR="00000000" w:rsidRPr="00090A13" w:rsidP="00090A13">
      <w:pPr>
        <w:pStyle w:val="ListBullet2"/>
      </w:pPr>
      <w:r w:rsidRPr="00090A13">
        <w:t>client instructions</w:t>
      </w:r>
    </w:p>
    <w:p w:rsidR="00000000" w:rsidRPr="00090A13" w:rsidP="00090A13">
      <w:pPr>
        <w:pStyle w:val="ListBullet"/>
      </w:pPr>
      <w:r w:rsidRPr="00090A13">
        <w:t>physical assessment techniques, how and when they are used, including:</w:t>
      </w:r>
    </w:p>
    <w:p w:rsidR="00000000" w:rsidRPr="00090A13" w:rsidP="00090A13">
      <w:pPr>
        <w:pStyle w:val="ListBullet2"/>
      </w:pPr>
      <w:r w:rsidRPr="00090A13">
        <w:t>postural assessment</w:t>
      </w:r>
    </w:p>
    <w:p w:rsidR="00000000" w:rsidRPr="00090A13" w:rsidP="00090A13">
      <w:pPr>
        <w:pStyle w:val="ListBullet2"/>
      </w:pPr>
      <w:r w:rsidRPr="00090A13">
        <w:t>range of motion (active, passive and resisted)</w:t>
      </w:r>
    </w:p>
    <w:p w:rsidR="00000000" w:rsidRPr="00090A13" w:rsidP="00090A13">
      <w:pPr>
        <w:pStyle w:val="ListBullet2"/>
      </w:pPr>
      <w:r w:rsidRPr="00090A13">
        <w:t>palpation</w:t>
      </w:r>
    </w:p>
    <w:p w:rsidR="00000000" w:rsidRPr="00090A13" w:rsidP="00090A13">
      <w:pPr>
        <w:pStyle w:val="ListBullet"/>
      </w:pPr>
      <w:r w:rsidRPr="00090A13">
        <w:t>contraindications to treatment and possible indications for referral,</w:t>
      </w:r>
      <w:r w:rsidRPr="00090A13">
        <w:t xml:space="preserve"> including: </w:t>
      </w:r>
    </w:p>
    <w:p w:rsidR="00000000" w:rsidRPr="00090A13" w:rsidP="00090A13">
      <w:pPr>
        <w:pStyle w:val="ListBullet2"/>
      </w:pPr>
      <w:r w:rsidRPr="00090A13">
        <w:t xml:space="preserve">protracted pain or pain which is non re-producible or neural in origin </w:t>
      </w:r>
    </w:p>
    <w:p w:rsidR="00000000" w:rsidRPr="00090A13" w:rsidP="00090A13">
      <w:pPr>
        <w:pStyle w:val="ListBullet2"/>
      </w:pPr>
      <w:r w:rsidRPr="00090A13">
        <w:t>fatigue</w:t>
      </w:r>
    </w:p>
    <w:p w:rsidR="00000000" w:rsidRPr="00090A13" w:rsidP="00090A13">
      <w:pPr>
        <w:pStyle w:val="ListBullet2"/>
      </w:pPr>
      <w:r w:rsidRPr="00090A13">
        <w:t>circulatory disorders</w:t>
      </w:r>
    </w:p>
    <w:p w:rsidR="00000000" w:rsidRPr="00090A13" w:rsidP="00090A13">
      <w:pPr>
        <w:pStyle w:val="ListBullet2"/>
      </w:pPr>
      <w:r w:rsidRPr="00090A13">
        <w:t>inflammation</w:t>
      </w:r>
    </w:p>
    <w:p w:rsidR="00000000" w:rsidRPr="00090A13" w:rsidP="00090A13">
      <w:pPr>
        <w:pStyle w:val="ListBullet2"/>
      </w:pPr>
      <w:r w:rsidRPr="00090A13">
        <w:t>lumps and tissue changes</w:t>
      </w:r>
    </w:p>
    <w:p w:rsidR="00000000" w:rsidRPr="00090A13" w:rsidP="00090A13">
      <w:pPr>
        <w:pStyle w:val="ListBullet2"/>
      </w:pPr>
      <w:r w:rsidRPr="00090A13">
        <w:t>rashes and changes in the skin</w:t>
      </w:r>
    </w:p>
    <w:p w:rsidR="00000000" w:rsidRPr="00090A13" w:rsidP="00090A13">
      <w:pPr>
        <w:pStyle w:val="ListBullet2"/>
      </w:pPr>
      <w:r w:rsidRPr="00090A13">
        <w:t>oedema</w:t>
      </w:r>
    </w:p>
    <w:p w:rsidR="00000000" w:rsidRPr="00090A13" w:rsidP="00090A13">
      <w:pPr>
        <w:pStyle w:val="ListBullet2"/>
      </w:pPr>
      <w:r w:rsidRPr="00090A13">
        <w:t>mood alterations</w:t>
      </w:r>
    </w:p>
    <w:p w:rsidR="00000000" w:rsidRPr="00090A13" w:rsidP="00090A13">
      <w:pPr>
        <w:pStyle w:val="ListBullet2"/>
      </w:pPr>
      <w:r w:rsidRPr="00090A13">
        <w:t>infection</w:t>
      </w:r>
    </w:p>
    <w:p w:rsidR="00000000" w:rsidRPr="00090A13" w:rsidP="00090A13">
      <w:pPr>
        <w:pStyle w:val="ListBullet2"/>
      </w:pPr>
      <w:r w:rsidRPr="00090A13">
        <w:t>changes in habits such as appetite elimination or sleep</w:t>
      </w:r>
    </w:p>
    <w:p w:rsidR="00000000" w:rsidRPr="00090A13" w:rsidP="00090A13">
      <w:pPr>
        <w:pStyle w:val="ListBullet2"/>
      </w:pPr>
      <w:r w:rsidRPr="00090A13">
        <w:t>bleeding and bruising</w:t>
      </w:r>
    </w:p>
    <w:p w:rsidR="00000000" w:rsidRPr="00090A13" w:rsidP="00090A13">
      <w:pPr>
        <w:pStyle w:val="ListBullet2"/>
      </w:pPr>
      <w:r w:rsidRPr="00090A13">
        <w:t>nausea, vomiting or diarrhoea</w:t>
      </w:r>
    </w:p>
    <w:p w:rsidR="00000000" w:rsidRPr="00090A13" w:rsidP="00090A13">
      <w:pPr>
        <w:pStyle w:val="ListBullet2"/>
      </w:pPr>
      <w:r w:rsidRPr="00090A13">
        <w:t>temperature-hot or cold</w:t>
      </w:r>
    </w:p>
    <w:p w:rsidR="00000000" w:rsidRPr="00090A13" w:rsidP="00090A13">
      <w:pPr>
        <w:pStyle w:val="ListBullet"/>
      </w:pPr>
      <w:r w:rsidRPr="00090A13">
        <w:t>major muscle anatomy, including:</w:t>
      </w:r>
    </w:p>
    <w:p w:rsidR="00000000" w:rsidRPr="00090A13" w:rsidP="00090A13">
      <w:pPr>
        <w:pStyle w:val="ListBullet2"/>
      </w:pPr>
      <w:r w:rsidRPr="00090A13">
        <w:t>surface anatomy</w:t>
      </w:r>
    </w:p>
    <w:p w:rsidR="00000000" w:rsidRPr="00090A13" w:rsidP="00090A13">
      <w:pPr>
        <w:pStyle w:val="ListBullet2"/>
      </w:pPr>
      <w:r w:rsidRPr="00090A13">
        <w:t>origin and insertion</w:t>
      </w:r>
    </w:p>
    <w:p w:rsidR="00000000" w:rsidRPr="00090A13" w:rsidP="00090A13">
      <w:pPr>
        <w:pStyle w:val="ListBullet2"/>
      </w:pPr>
      <w:r w:rsidRPr="00090A13">
        <w:t>palpable bony landmarks</w:t>
      </w:r>
    </w:p>
    <w:p w:rsidR="00000000" w:rsidRPr="00090A13" w:rsidP="00090A13">
      <w:pPr>
        <w:pStyle w:val="ListBullet2"/>
      </w:pPr>
      <w:r w:rsidRPr="00090A13">
        <w:t>reciprocal inhibition, antagonist/agonist, synergists</w:t>
      </w:r>
    </w:p>
    <w:p w:rsidR="00000000" w:rsidRPr="00090A13" w:rsidP="00090A13">
      <w:pPr>
        <w:pStyle w:val="ListBullet2"/>
      </w:pPr>
      <w:r w:rsidRPr="00090A13">
        <w:t>actions including individual actions, planes and synergistic groups of the following muscles:</w:t>
      </w:r>
    </w:p>
    <w:p w:rsidR="00000000" w:rsidRPr="00090A13" w:rsidP="00090A13">
      <w:pPr>
        <w:pStyle w:val="ListBullet3"/>
      </w:pPr>
      <w:r w:rsidRPr="00090A13">
        <w:t xml:space="preserve">temporalis </w:t>
      </w:r>
    </w:p>
    <w:p w:rsidR="00000000" w:rsidRPr="00090A13" w:rsidP="00090A13">
      <w:pPr>
        <w:pStyle w:val="ListBullet3"/>
      </w:pPr>
      <w:r w:rsidRPr="00090A13">
        <w:t>masseter</w:t>
      </w:r>
    </w:p>
    <w:p w:rsidR="00000000" w:rsidRPr="00090A13" w:rsidP="00090A13">
      <w:pPr>
        <w:pStyle w:val="ListBullet3"/>
      </w:pPr>
      <w:r w:rsidRPr="00090A13">
        <w:t>frontalis</w:t>
      </w:r>
    </w:p>
    <w:p w:rsidR="00000000" w:rsidRPr="00090A13" w:rsidP="00090A13">
      <w:pPr>
        <w:pStyle w:val="ListBullet3"/>
      </w:pPr>
      <w:r w:rsidRPr="00090A13">
        <w:t>sternocleidomastoid</w:t>
      </w:r>
    </w:p>
    <w:p w:rsidR="00000000" w:rsidRPr="00090A13" w:rsidP="00090A13">
      <w:pPr>
        <w:pStyle w:val="ListBullet3"/>
      </w:pPr>
      <w:r w:rsidRPr="00090A13">
        <w:t>trapezius</w:t>
      </w:r>
    </w:p>
    <w:p w:rsidR="00000000" w:rsidRPr="00090A13" w:rsidP="00090A13">
      <w:pPr>
        <w:pStyle w:val="ListBullet3"/>
      </w:pPr>
      <w:r w:rsidRPr="00090A13">
        <w:t>levator scapulae</w:t>
      </w:r>
    </w:p>
    <w:p w:rsidR="00000000" w:rsidRPr="00090A13" w:rsidP="00090A13">
      <w:pPr>
        <w:pStyle w:val="ListBullet3"/>
      </w:pPr>
      <w:r w:rsidRPr="00090A13">
        <w:t>latissimus dorsi</w:t>
      </w:r>
    </w:p>
    <w:p w:rsidR="00000000" w:rsidRPr="00090A13" w:rsidP="00090A13">
      <w:pPr>
        <w:pStyle w:val="ListBullet3"/>
      </w:pPr>
      <w:r w:rsidRPr="00090A13">
        <w:t>supraspinatu</w:t>
      </w:r>
      <w:r w:rsidRPr="00090A13">
        <w:t>s</w:t>
      </w:r>
    </w:p>
    <w:p w:rsidR="00000000" w:rsidRPr="00090A13" w:rsidP="00090A13">
      <w:pPr>
        <w:pStyle w:val="ListBullet3"/>
      </w:pPr>
      <w:r w:rsidRPr="00090A13">
        <w:t>infraspinatus</w:t>
      </w:r>
    </w:p>
    <w:p w:rsidR="00000000" w:rsidRPr="00090A13" w:rsidP="00090A13">
      <w:pPr>
        <w:pStyle w:val="ListBullet3"/>
      </w:pPr>
      <w:r w:rsidRPr="00090A13">
        <w:t>teres major</w:t>
      </w:r>
    </w:p>
    <w:p w:rsidR="00000000" w:rsidRPr="00090A13" w:rsidP="00090A13">
      <w:pPr>
        <w:pStyle w:val="ListBullet3"/>
      </w:pPr>
      <w:r w:rsidRPr="00090A13">
        <w:t>teres minor</w:t>
      </w:r>
    </w:p>
    <w:p w:rsidR="00000000" w:rsidRPr="00090A13" w:rsidP="00090A13">
      <w:pPr>
        <w:pStyle w:val="ListBullet3"/>
      </w:pPr>
      <w:r w:rsidRPr="00090A13">
        <w:t>subscapularis</w:t>
      </w:r>
    </w:p>
    <w:p w:rsidR="00000000" w:rsidRPr="00090A13" w:rsidP="00090A13">
      <w:pPr>
        <w:pStyle w:val="ListBullet3"/>
      </w:pPr>
      <w:r w:rsidRPr="00090A13">
        <w:t>rhomboids</w:t>
      </w:r>
    </w:p>
    <w:p w:rsidR="00000000" w:rsidRPr="00090A13" w:rsidP="00090A13">
      <w:pPr>
        <w:pStyle w:val="ListBullet3"/>
      </w:pPr>
      <w:r w:rsidRPr="00090A13">
        <w:t>pectoralis major</w:t>
      </w:r>
    </w:p>
    <w:p w:rsidR="00000000" w:rsidRPr="00090A13" w:rsidP="00090A13">
      <w:pPr>
        <w:pStyle w:val="ListBullet3"/>
      </w:pPr>
      <w:r w:rsidRPr="00090A13">
        <w:t>pectoralis minor</w:t>
      </w:r>
    </w:p>
    <w:p w:rsidR="00000000" w:rsidRPr="00090A13" w:rsidP="00090A13">
      <w:pPr>
        <w:pStyle w:val="ListBullet3"/>
      </w:pPr>
      <w:r w:rsidRPr="00090A13">
        <w:t>rectus abdominis</w:t>
      </w:r>
    </w:p>
    <w:p w:rsidR="00000000" w:rsidRPr="00090A13" w:rsidP="00090A13">
      <w:pPr>
        <w:pStyle w:val="ListBullet3"/>
      </w:pPr>
      <w:r w:rsidRPr="00090A13">
        <w:t>quadratus lumborum</w:t>
      </w:r>
    </w:p>
    <w:p w:rsidR="00000000" w:rsidRPr="00090A13" w:rsidP="00090A13">
      <w:pPr>
        <w:pStyle w:val="ListBullet3"/>
      </w:pPr>
      <w:r w:rsidRPr="00090A13">
        <w:t>psoas</w:t>
      </w:r>
    </w:p>
    <w:p w:rsidR="00000000" w:rsidRPr="00090A13" w:rsidP="00090A13">
      <w:pPr>
        <w:pStyle w:val="ListBullet3"/>
      </w:pPr>
      <w:r w:rsidRPr="00090A13">
        <w:t xml:space="preserve">erector spinae </w:t>
      </w:r>
    </w:p>
    <w:p w:rsidR="00000000" w:rsidRPr="00090A13" w:rsidP="00090A13">
      <w:pPr>
        <w:pStyle w:val="ListBullet3"/>
      </w:pPr>
      <w:r w:rsidRPr="00090A13">
        <w:t>gluteus maximus</w:t>
      </w:r>
    </w:p>
    <w:p w:rsidR="00000000" w:rsidRPr="00090A13" w:rsidP="00090A13">
      <w:pPr>
        <w:pStyle w:val="ListBullet3"/>
      </w:pPr>
      <w:r w:rsidRPr="00090A13">
        <w:t>gluteus medius</w:t>
      </w:r>
    </w:p>
    <w:p w:rsidR="00000000" w:rsidRPr="00090A13" w:rsidP="00090A13">
      <w:pPr>
        <w:pStyle w:val="ListBullet3"/>
      </w:pPr>
      <w:r w:rsidRPr="00090A13">
        <w:t>piriformis</w:t>
      </w:r>
    </w:p>
    <w:p w:rsidR="00000000" w:rsidRPr="00090A13" w:rsidP="00090A13">
      <w:pPr>
        <w:pStyle w:val="ListBullet3"/>
      </w:pPr>
      <w:r w:rsidRPr="00090A13">
        <w:t>quadriceps</w:t>
      </w:r>
    </w:p>
    <w:p w:rsidR="00000000" w:rsidRPr="00090A13" w:rsidP="00090A13">
      <w:pPr>
        <w:pStyle w:val="ListBullet3"/>
      </w:pPr>
      <w:r w:rsidRPr="00090A13">
        <w:t>tibialis anterior</w:t>
      </w:r>
    </w:p>
    <w:p w:rsidR="00000000" w:rsidRPr="00090A13" w:rsidP="00090A13">
      <w:pPr>
        <w:pStyle w:val="ListBullet3"/>
      </w:pPr>
      <w:r w:rsidRPr="00090A13">
        <w:t>peroneals</w:t>
      </w:r>
    </w:p>
    <w:p w:rsidR="00000000" w:rsidRPr="00090A13" w:rsidP="00090A13">
      <w:pPr>
        <w:pStyle w:val="ListBullet3"/>
      </w:pPr>
      <w:r w:rsidRPr="00090A13">
        <w:t>hamstrings</w:t>
      </w:r>
    </w:p>
    <w:p w:rsidR="00000000" w:rsidRPr="00090A13" w:rsidP="00090A13">
      <w:pPr>
        <w:pStyle w:val="ListBullet3"/>
      </w:pPr>
      <w:r w:rsidRPr="00090A13">
        <w:t>adductor magnus</w:t>
      </w:r>
    </w:p>
    <w:p w:rsidR="00000000" w:rsidRPr="00090A13" w:rsidP="00090A13">
      <w:pPr>
        <w:pStyle w:val="ListBullet3"/>
      </w:pPr>
      <w:r w:rsidRPr="00090A13">
        <w:t>adductor longus</w:t>
      </w:r>
    </w:p>
    <w:p w:rsidR="00000000" w:rsidRPr="00090A13" w:rsidP="00090A13">
      <w:pPr>
        <w:pStyle w:val="ListBullet3"/>
      </w:pPr>
      <w:r w:rsidRPr="00090A13">
        <w:t>gastrocnemius</w:t>
      </w:r>
    </w:p>
    <w:p w:rsidR="00000000" w:rsidRPr="00090A13" w:rsidP="00090A13">
      <w:pPr>
        <w:pStyle w:val="ListBullet3"/>
      </w:pPr>
      <w:r w:rsidRPr="00090A13">
        <w:t>soleus</w:t>
      </w:r>
    </w:p>
    <w:p w:rsidR="00000000" w:rsidRPr="00090A13" w:rsidP="00090A13">
      <w:pPr>
        <w:pStyle w:val="ListBullet3"/>
      </w:pPr>
      <w:r w:rsidRPr="00090A13">
        <w:t>deltoid</w:t>
      </w:r>
    </w:p>
    <w:p w:rsidR="00000000" w:rsidRPr="00090A13" w:rsidP="00090A13">
      <w:pPr>
        <w:pStyle w:val="ListBullet3"/>
      </w:pPr>
      <w:r w:rsidRPr="00090A13">
        <w:t>biceps brachii</w:t>
      </w:r>
    </w:p>
    <w:p w:rsidR="00000000" w:rsidRPr="00090A13" w:rsidP="00090A13">
      <w:pPr>
        <w:pStyle w:val="ListBullet3"/>
      </w:pPr>
      <w:r w:rsidRPr="00090A13">
        <w:t>triceps brachii</w:t>
      </w:r>
    </w:p>
    <w:p w:rsidR="00000000" w:rsidRPr="00090A13" w:rsidP="00090A13">
      <w:pPr>
        <w:pStyle w:val="ListBullet3"/>
      </w:pPr>
      <w:r w:rsidRPr="00090A13">
        <w:t>flexor carpi radialus</w:t>
      </w:r>
    </w:p>
    <w:p w:rsidR="00000000" w:rsidRPr="00090A13" w:rsidP="00090A13">
      <w:pPr>
        <w:pStyle w:val="ListBullet3"/>
      </w:pPr>
      <w:r w:rsidRPr="00090A13">
        <w:t>flexor carpi ulnaris</w:t>
      </w:r>
    </w:p>
    <w:p w:rsidR="00000000" w:rsidRPr="00090A13" w:rsidP="00090A13">
      <w:pPr>
        <w:pStyle w:val="ListBullet3"/>
      </w:pPr>
      <w:r w:rsidRPr="00090A13">
        <w:t>palmaris longus</w:t>
      </w:r>
    </w:p>
    <w:p w:rsidR="00000000" w:rsidRPr="00090A13" w:rsidP="00090A13">
      <w:pPr>
        <w:pStyle w:val="ListBullet3"/>
      </w:pPr>
      <w:r w:rsidRPr="00090A13">
        <w:t>pronator teres</w:t>
      </w:r>
    </w:p>
    <w:p w:rsidR="00000000" w:rsidRPr="00090A13" w:rsidP="00090A13">
      <w:pPr>
        <w:pStyle w:val="ListBullet3"/>
      </w:pPr>
      <w:r w:rsidRPr="00090A13">
        <w:t>brachioradialis</w:t>
      </w:r>
    </w:p>
    <w:p w:rsidR="00000000" w:rsidRPr="00090A13" w:rsidP="00090A13">
      <w:pPr>
        <w:pStyle w:val="ListBullet3"/>
      </w:pPr>
      <w:r w:rsidRPr="00090A13">
        <w:t>extensor carpi radialis</w:t>
      </w:r>
    </w:p>
    <w:p w:rsidR="00000000" w:rsidRPr="00090A13" w:rsidP="00090A13">
      <w:pPr>
        <w:pStyle w:val="ListBullet3"/>
      </w:pPr>
      <w:r w:rsidRPr="00090A13">
        <w:t>supinator</w:t>
      </w:r>
    </w:p>
    <w:p w:rsidR="00000000" w:rsidRPr="00090A13" w:rsidP="00090A13">
      <w:pPr>
        <w:pStyle w:val="ListBullet2"/>
      </w:pPr>
      <w:r w:rsidRPr="00090A13">
        <w:t>skeleton:</w:t>
      </w:r>
    </w:p>
    <w:p w:rsidR="00000000" w:rsidRPr="00090A13" w:rsidP="00090A13">
      <w:pPr>
        <w:pStyle w:val="ListBullet3"/>
      </w:pPr>
      <w:r w:rsidRPr="00090A13">
        <w:t>bones of the body</w:t>
      </w:r>
    </w:p>
    <w:p w:rsidR="00000000" w:rsidRPr="00090A13" w:rsidP="00090A13">
      <w:pPr>
        <w:pStyle w:val="ListBullet3"/>
      </w:pPr>
      <w:r w:rsidRPr="00090A13">
        <w:t xml:space="preserve">major bony landmarks </w:t>
      </w:r>
    </w:p>
    <w:p w:rsidR="00000000" w:rsidRPr="00090A13" w:rsidP="00090A13">
      <w:pPr>
        <w:pStyle w:val="ListBullet3"/>
      </w:pPr>
      <w:r w:rsidRPr="00090A13">
        <w:t>surface anatomy and palpable bony landmarks</w:t>
      </w:r>
    </w:p>
    <w:p w:rsidR="00000000" w:rsidRPr="00090A13" w:rsidP="00090A13">
      <w:pPr>
        <w:pStyle w:val="ListBullet3"/>
      </w:pPr>
      <w:r w:rsidRPr="00090A13">
        <w:t>bone growth and remodelling</w:t>
      </w:r>
    </w:p>
    <w:p w:rsidR="00000000" w:rsidRPr="00090A13" w:rsidP="00090A13">
      <w:pPr>
        <w:pStyle w:val="ListBullet2"/>
      </w:pPr>
      <w:r w:rsidRPr="00090A13">
        <w:t>joints:</w:t>
      </w:r>
    </w:p>
    <w:p w:rsidR="00000000" w:rsidRPr="00090A13" w:rsidP="00090A13">
      <w:pPr>
        <w:pStyle w:val="ListBullet3"/>
      </w:pPr>
      <w:r w:rsidRPr="00090A13">
        <w:t xml:space="preserve">joint classifications – fibrous, cartilaginous, synovial (glide, plane, ball/socket, saddle, hinge, condyloid, pivot) </w:t>
      </w:r>
    </w:p>
    <w:p w:rsidR="00000000" w:rsidRPr="00090A13" w:rsidP="00090A13">
      <w:pPr>
        <w:pStyle w:val="ListBullet3"/>
      </w:pPr>
      <w:r w:rsidRPr="00090A13">
        <w:t>joint actions</w:t>
      </w:r>
    </w:p>
    <w:p w:rsidR="00000000" w:rsidRPr="00090A13" w:rsidP="00090A13">
      <w:pPr>
        <w:pStyle w:val="ListBullet"/>
      </w:pPr>
      <w:r w:rsidRPr="00090A13">
        <w:t>physiology:</w:t>
      </w:r>
    </w:p>
    <w:p w:rsidR="00000000" w:rsidRPr="00090A13" w:rsidP="00090A13">
      <w:pPr>
        <w:pStyle w:val="ListBullet2"/>
      </w:pPr>
      <w:r w:rsidRPr="00090A13">
        <w:t>soft tissue:</w:t>
      </w:r>
    </w:p>
    <w:p w:rsidR="00000000" w:rsidRPr="00090A13" w:rsidP="00090A13">
      <w:pPr>
        <w:pStyle w:val="ListBullet3"/>
      </w:pPr>
      <w:r w:rsidRPr="00090A13">
        <w:t>muscle contraction</w:t>
      </w:r>
    </w:p>
    <w:p w:rsidR="00000000" w:rsidRPr="00090A13" w:rsidP="00090A13">
      <w:pPr>
        <w:pStyle w:val="ListBullet3"/>
      </w:pPr>
      <w:r w:rsidRPr="00090A13">
        <w:t>muscle physiology (reflexes, chemistry, proprioceptors)</w:t>
      </w:r>
    </w:p>
    <w:p w:rsidR="00000000" w:rsidRPr="00090A13" w:rsidP="00090A13">
      <w:pPr>
        <w:pStyle w:val="ListBullet3"/>
      </w:pPr>
      <w:r w:rsidRPr="00090A13">
        <w:t>tendons and ligaments</w:t>
      </w:r>
    </w:p>
    <w:p w:rsidR="00000000" w:rsidRPr="00090A13" w:rsidP="00090A13">
      <w:pPr>
        <w:pStyle w:val="ListBullet3"/>
      </w:pPr>
      <w:r w:rsidRPr="00090A13">
        <w:t xml:space="preserve">fascia </w:t>
      </w:r>
    </w:p>
    <w:p w:rsidR="00000000" w:rsidRPr="00090A13" w:rsidP="00090A13">
      <w:pPr>
        <w:pStyle w:val="ListBullet2"/>
      </w:pPr>
      <w:r w:rsidRPr="00090A13">
        <w:t>hard tissue:</w:t>
      </w:r>
    </w:p>
    <w:p w:rsidR="00000000" w:rsidRPr="00090A13" w:rsidP="00090A13">
      <w:pPr>
        <w:pStyle w:val="ListBullet3"/>
      </w:pPr>
      <w:r w:rsidRPr="00090A13">
        <w:t>bone growth and development</w:t>
      </w:r>
    </w:p>
    <w:p w:rsidR="00000000" w:rsidRPr="00090A13" w:rsidP="00090A13">
      <w:pPr>
        <w:pStyle w:val="ListBullet3"/>
      </w:pPr>
      <w:r w:rsidRPr="00090A13">
        <w:t xml:space="preserve">abnormal bone growth </w:t>
      </w:r>
    </w:p>
    <w:p w:rsidR="00000000" w:rsidRPr="00090A13" w:rsidP="00090A13">
      <w:pPr>
        <w:pStyle w:val="ListBullet2"/>
      </w:pPr>
      <w:r w:rsidRPr="00090A13">
        <w:t>recognition of in terms of contra-indications:</w:t>
      </w:r>
    </w:p>
    <w:p w:rsidR="00000000" w:rsidRPr="00090A13" w:rsidP="00090A13">
      <w:pPr>
        <w:pStyle w:val="ListBullet3"/>
      </w:pPr>
      <w:r w:rsidRPr="00090A13">
        <w:t>inflammation (cardinal signs, physiology at cellular level)</w:t>
      </w:r>
    </w:p>
    <w:p w:rsidR="00000000" w:rsidRPr="00090A13" w:rsidP="00090A13">
      <w:pPr>
        <w:pStyle w:val="ListBullet3"/>
      </w:pPr>
      <w:r w:rsidRPr="00090A13">
        <w:t>injury and wound healing (acute/chronic, stages, grades)</w:t>
      </w:r>
    </w:p>
    <w:p w:rsidR="00000000" w:rsidRPr="00090A13" w:rsidP="00090A13">
      <w:pPr>
        <w:pStyle w:val="ListBullet3"/>
      </w:pPr>
      <w:r w:rsidRPr="00090A13">
        <w:t>pain types</w:t>
      </w:r>
    </w:p>
    <w:p w:rsidR="00000000" w:rsidRPr="00090A13" w:rsidP="00090A13">
      <w:pPr>
        <w:pStyle w:val="ListBullet3"/>
      </w:pPr>
      <w:r w:rsidRPr="00090A13">
        <w:t>tendinopathy</w:t>
      </w:r>
    </w:p>
    <w:p w:rsidR="00000000" w:rsidRPr="00090A13" w:rsidP="00090A13">
      <w:pPr>
        <w:pStyle w:val="AllowPageBreak"/>
      </w:pPr>
    </w:p>
    <w:p w:rsidR="00000000" w:rsidRPr="00090A13" w:rsidP="00090A13">
      <w:pPr>
        <w:pStyle w:val="Heading1"/>
      </w:pPr>
      <w:bookmarkStart w:id="4" w:name="O_656808"/>
      <w:bookmarkEnd w:id="4"/>
      <w:r w:rsidRPr="00090A13">
        <w:t>Assessment Conditions</w:t>
      </w:r>
    </w:p>
    <w:p w:rsidR="00000000" w:rsidRPr="00090A13" w:rsidP="005B2782">
      <w:pPr>
        <w:pStyle w:val="BodyText"/>
      </w:pPr>
      <w:r w:rsidRPr="00090A13">
        <w:t>Skills must have been demonstrated in the workplace or in a simulated clinic</w:t>
      </w:r>
      <w:r w:rsidRPr="00090A13">
        <w:t xml:space="preserve">al environment that reflects workplace conditions. The following conditions must be met for this unit: </w:t>
      </w:r>
    </w:p>
    <w:p w:rsidR="00000000" w:rsidRPr="00090A13" w:rsidP="00090A13">
      <w:pPr>
        <w:pStyle w:val="ListBullet"/>
      </w:pPr>
      <w:r w:rsidRPr="00090A13">
        <w:t xml:space="preserve">use of suitable facilities, equipment and resources, including: </w:t>
      </w:r>
    </w:p>
    <w:p w:rsidR="00000000" w:rsidRPr="00090A13" w:rsidP="00090A13">
      <w:pPr>
        <w:pStyle w:val="ListBullet2"/>
      </w:pPr>
      <w:r w:rsidRPr="00090A13">
        <w:t>client information – case history</w:t>
      </w:r>
    </w:p>
    <w:p w:rsidR="00000000" w:rsidRPr="00090A13" w:rsidP="00090A13">
      <w:pPr>
        <w:pStyle w:val="ListBullet2"/>
      </w:pPr>
      <w:r w:rsidRPr="00090A13">
        <w:t>private consultation area</w:t>
      </w:r>
    </w:p>
    <w:p w:rsidR="00000000" w:rsidRPr="00090A13" w:rsidP="00090A13">
      <w:pPr>
        <w:pStyle w:val="ListBullet2"/>
      </w:pPr>
      <w:r w:rsidRPr="00090A13">
        <w:t>adjustable height massage table</w:t>
      </w:r>
    </w:p>
    <w:p w:rsidR="00000000" w:rsidRPr="00090A13" w:rsidP="00090A13">
      <w:pPr>
        <w:pStyle w:val="ListBullet2"/>
      </w:pPr>
      <w:r w:rsidRPr="00090A13">
        <w:t>towels/sheets for draping</w:t>
      </w:r>
    </w:p>
    <w:p w:rsidR="00000000" w:rsidRPr="00090A13" w:rsidP="00090A13">
      <w:pPr>
        <w:pStyle w:val="ListBullet2"/>
      </w:pPr>
      <w:r w:rsidRPr="00090A13">
        <w:t>oils/balms</w:t>
      </w:r>
    </w:p>
    <w:p w:rsidR="00000000" w:rsidRPr="00090A13" w:rsidP="00090A13">
      <w:pPr>
        <w:pStyle w:val="ListBullet2"/>
      </w:pPr>
      <w:r w:rsidRPr="00090A13">
        <w:t>hot/cold packs</w:t>
      </w:r>
    </w:p>
    <w:p w:rsidR="00000000" w:rsidRPr="00090A13" w:rsidP="00090A13">
      <w:pPr>
        <w:pStyle w:val="ListBullet2"/>
      </w:pPr>
      <w:r w:rsidRPr="00090A13">
        <w:t>bolsters</w:t>
      </w:r>
    </w:p>
    <w:p w:rsidR="00000000" w:rsidRPr="00090A13" w:rsidP="00090A13">
      <w:pPr>
        <w:pStyle w:val="ListBullet"/>
      </w:pPr>
      <w:r w:rsidRPr="00090A13">
        <w:t xml:space="preserve">modelling of industry operating conditions, including provision of services to the general public </w:t>
      </w:r>
    </w:p>
    <w:p w:rsidR="00000000" w:rsidRPr="00090A13" w:rsidP="00090A13">
      <w:pPr>
        <w:pStyle w:val="ListBullet"/>
      </w:pPr>
      <w:r w:rsidRPr="00090A13">
        <w:t>clinic supervision by a person who meets the assessor requireme</w:t>
      </w:r>
      <w:r w:rsidRPr="00090A13">
        <w:t>nts outlined below for at least 60 of the 80 hours of client consultation work</w:t>
      </w:r>
    </w:p>
    <w:p w:rsidR="00000000" w:rsidRPr="00090A13" w:rsidP="00090A13">
      <w:pPr>
        <w:pStyle w:val="BodyText"/>
      </w:pPr>
    </w:p>
    <w:p w:rsidR="00000000" w:rsidRPr="00090A13" w:rsidP="005B2782">
      <w:pPr>
        <w:pStyle w:val="BodyText"/>
      </w:pPr>
      <w:r w:rsidRPr="00090A13">
        <w:t>Assessors must satisfy the Standards for Registered Training Organisations (RTOs) 2015/AQTF mandatory competency requirements for assessors</w:t>
      </w:r>
      <w:r w:rsidRPr="00090A13">
        <w:rPr>
          <w:rStyle w:val="SpecialBold"/>
        </w:rPr>
        <w:t xml:space="preserve">. </w:t>
      </w:r>
    </w:p>
    <w:p w:rsidR="00000000" w:rsidRPr="00090A13" w:rsidP="005B2782">
      <w:pPr>
        <w:pStyle w:val="BodyText"/>
      </w:pPr>
      <w:r w:rsidRPr="00090A13">
        <w:t>In addition, assessors must:</w:t>
      </w:r>
    </w:p>
    <w:p w:rsidR="00000000" w:rsidRPr="00090A13" w:rsidP="00090A13">
      <w:pPr>
        <w:pStyle w:val="ListBullet"/>
      </w:pPr>
      <w:r w:rsidRPr="00090A13">
        <w:t>have</w:t>
      </w:r>
      <w:r w:rsidRPr="00090A13">
        <w:t xml:space="preserve"> current clinical experience working as a massage therapist providing services to the general public</w:t>
      </w:r>
    </w:p>
    <w:p w:rsidR="00000000" w:rsidRPr="00090A13" w:rsidP="00090A13">
      <w:pPr>
        <w:pStyle w:val="ListBullet"/>
      </w:pPr>
      <w:r w:rsidRPr="00090A13">
        <w:t>hold practising membership of an Australian professional body that represents massage therapists</w:t>
      </w:r>
    </w:p>
    <w:p w:rsidR="00000000" w:rsidRPr="00090A13" w:rsidP="00090A13">
      <w:pPr>
        <w:pStyle w:val="ListBullet"/>
      </w:pPr>
      <w:r w:rsidRPr="00090A13">
        <w:t>fulfil the con</w:t>
      </w:r>
      <w:r w:rsidRPr="00090A13">
        <w:t>tinuing professional development requirements of the professional body to which they belong</w:t>
      </w:r>
    </w:p>
    <w:p w:rsidR="00000000" w:rsidRPr="00090A13" w:rsidP="00090A13">
      <w:pPr>
        <w:pStyle w:val="AllowPageBreak"/>
      </w:pPr>
    </w:p>
    <w:p w:rsidR="00000000" w:rsidRPr="00090A13" w:rsidP="00090A13">
      <w:pPr>
        <w:pStyle w:val="Heading1"/>
      </w:pPr>
      <w:bookmarkStart w:id="5" w:name="O_656811"/>
      <w:bookmarkEnd w:id="5"/>
      <w:r w:rsidRPr="00090A13">
        <w:t>Links</w:t>
      </w:r>
    </w:p>
    <w:p w:rsidR="00000000" w:rsidRPr="00090A13" w:rsidP="005B2782">
      <w:pPr>
        <w:pStyle w:val="BodyText"/>
      </w:pPr>
      <w:r w:rsidRPr="00090A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E24F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90A13" w:rsidP="00090A13"/>
    <w:sectPr w:rsidSect="00090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13" w:rsidRPr="005B2782" w:rsidP="005B2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82" w:rsidP="00090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782" w:rsidP="00090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2782" w:rsidP="00090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A13" w:rsidRPr="005B2782" w:rsidP="005B2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82" w:rsidRPr="002D2AF8" w:rsidP="00090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HLTMSG002 Assess client massage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B2782" w:rsidP="00090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02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784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020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A13"/>
  </w:style>
  <w:style w:type="character" w:customStyle="1" w:styleId="Heading1Char">
    <w:name w:val="Heading 1 Char"/>
    <w:basedOn w:val="DefaultParagraphFont"/>
    <w:link w:val="Heading1"/>
    <w:rsid w:val="00090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A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A13"/>
    <w:rPr>
      <w:b/>
      <w:spacing w:val="0"/>
    </w:rPr>
  </w:style>
  <w:style w:type="paragraph" w:styleId="ListBullet2">
    <w:name w:val="List Bullet 2"/>
    <w:basedOn w:val="List2"/>
    <w:rsid w:val="00090A1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0A13"/>
    <w:rPr>
      <w:i/>
    </w:rPr>
  </w:style>
  <w:style w:type="paragraph" w:customStyle="1" w:styleId="SuperHeading">
    <w:name w:val="SuperHeading"/>
    <w:basedOn w:val="Normal"/>
    <w:rsid w:val="00090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0A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0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A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A13"/>
  </w:style>
  <w:style w:type="paragraph" w:styleId="TableofFigures">
    <w:name w:val="table of figures"/>
    <w:basedOn w:val="Normal"/>
    <w:next w:val="Normal"/>
    <w:semiHidden/>
    <w:rsid w:val="00090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A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0A13"/>
    <w:rPr>
      <w:rFonts w:ascii="Wingdings" w:hAnsi="Wingdings"/>
    </w:rPr>
  </w:style>
  <w:style w:type="paragraph" w:customStyle="1" w:styleId="TableHeading">
    <w:name w:val="Table Heading"/>
    <w:basedOn w:val="HeadingBase"/>
    <w:rsid w:val="00090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A13"/>
    <w:rPr>
      <w:color w:val="0033CC"/>
      <w:u w:val="none"/>
    </w:rPr>
  </w:style>
  <w:style w:type="paragraph" w:customStyle="1" w:styleId="BodyTextRight">
    <w:name w:val="Body Text Right"/>
    <w:basedOn w:val="BodyText"/>
    <w:rsid w:val="00090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A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A13"/>
    <w:rPr>
      <w:sz w:val="32"/>
    </w:rPr>
  </w:style>
  <w:style w:type="paragraph" w:customStyle="1" w:styleId="HeadingProcedure">
    <w:name w:val="Heading Procedure"/>
    <w:basedOn w:val="HeadingBase"/>
    <w:next w:val="Normal"/>
    <w:rsid w:val="00090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A13"/>
    <w:pPr>
      <w:spacing w:before="60" w:after="60"/>
    </w:pPr>
  </w:style>
  <w:style w:type="paragraph" w:styleId="ListContinue">
    <w:name w:val="List Continue"/>
    <w:basedOn w:val="List"/>
    <w:rsid w:val="00090A13"/>
    <w:pPr>
      <w:ind w:firstLine="0"/>
    </w:pPr>
  </w:style>
  <w:style w:type="paragraph" w:customStyle="1" w:styleId="ListNote">
    <w:name w:val="List Note"/>
    <w:basedOn w:val="List"/>
    <w:rsid w:val="00090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A13"/>
    <w:rPr>
      <w:rFonts w:ascii="Courier New" w:hAnsi="Courier New"/>
    </w:rPr>
  </w:style>
  <w:style w:type="paragraph" w:customStyle="1" w:styleId="NoteBullet">
    <w:name w:val="Note Bullet"/>
    <w:basedOn w:val="Note"/>
    <w:rsid w:val="00090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A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0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A13"/>
    <w:rPr>
      <w:b/>
      <w:smallCaps/>
    </w:rPr>
  </w:style>
  <w:style w:type="paragraph" w:customStyle="1" w:styleId="TableListNumber">
    <w:name w:val="Table List Number"/>
    <w:basedOn w:val="ListNumber"/>
    <w:rsid w:val="00090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A13"/>
    <w:pPr>
      <w:numPr>
        <w:numId w:val="10"/>
      </w:numPr>
    </w:pPr>
  </w:style>
  <w:style w:type="paragraph" w:customStyle="1" w:styleId="ListAlpha2">
    <w:name w:val="List Alpha 2"/>
    <w:basedOn w:val="List2"/>
    <w:rsid w:val="00090A13"/>
    <w:pPr>
      <w:numPr>
        <w:numId w:val="9"/>
      </w:numPr>
    </w:pPr>
  </w:style>
  <w:style w:type="paragraph" w:styleId="List2">
    <w:name w:val="List 2"/>
    <w:basedOn w:val="BodyText"/>
    <w:rsid w:val="00090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A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0A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0A13"/>
    <w:pPr>
      <w:numPr>
        <w:numId w:val="5"/>
      </w:numPr>
    </w:pPr>
  </w:style>
  <w:style w:type="paragraph" w:styleId="ListContinue2">
    <w:name w:val="List Continue 2"/>
    <w:basedOn w:val="List2"/>
    <w:rsid w:val="00090A13"/>
    <w:pPr>
      <w:ind w:firstLine="0"/>
    </w:pPr>
  </w:style>
  <w:style w:type="paragraph" w:styleId="ListContinue3">
    <w:name w:val="List Continue 3"/>
    <w:basedOn w:val="List3"/>
    <w:rsid w:val="00090A13"/>
    <w:pPr>
      <w:ind w:left="1021" w:firstLine="0"/>
    </w:pPr>
  </w:style>
  <w:style w:type="paragraph" w:styleId="ListContinue4">
    <w:name w:val="List Continue 4"/>
    <w:basedOn w:val="List4"/>
    <w:rsid w:val="00090A13"/>
    <w:pPr>
      <w:ind w:firstLine="0"/>
    </w:pPr>
  </w:style>
  <w:style w:type="paragraph" w:styleId="ListContinue5">
    <w:name w:val="List Continue 5"/>
    <w:basedOn w:val="List5"/>
    <w:rsid w:val="00090A13"/>
    <w:pPr>
      <w:ind w:firstLine="0"/>
    </w:pPr>
  </w:style>
  <w:style w:type="paragraph" w:styleId="ListNumber3">
    <w:name w:val="List Number 3"/>
    <w:basedOn w:val="List3"/>
    <w:rsid w:val="00090A13"/>
    <w:pPr>
      <w:numPr>
        <w:numId w:val="6"/>
      </w:numPr>
    </w:pPr>
  </w:style>
  <w:style w:type="paragraph" w:styleId="ListNumber4">
    <w:name w:val="List Number 4"/>
    <w:basedOn w:val="List4"/>
    <w:rsid w:val="00090A13"/>
    <w:pPr>
      <w:numPr>
        <w:numId w:val="7"/>
      </w:numPr>
    </w:pPr>
  </w:style>
  <w:style w:type="paragraph" w:styleId="ListNumber5">
    <w:name w:val="List Number 5"/>
    <w:basedOn w:val="List5"/>
    <w:rsid w:val="00090A13"/>
    <w:pPr>
      <w:numPr>
        <w:numId w:val="8"/>
      </w:numPr>
    </w:pPr>
  </w:style>
  <w:style w:type="paragraph" w:styleId="BlockText">
    <w:name w:val="Block Text"/>
    <w:basedOn w:val="Normal"/>
    <w:rsid w:val="00090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A13"/>
    <w:rPr>
      <w:sz w:val="16"/>
      <w:vertAlign w:val="superscript"/>
    </w:rPr>
  </w:style>
  <w:style w:type="character" w:customStyle="1" w:styleId="Symbols">
    <w:name w:val="Symbols"/>
    <w:basedOn w:val="DefaultParagraphFont"/>
    <w:rsid w:val="00090A13"/>
    <w:rPr>
      <w:rFonts w:ascii="Symbol" w:hAnsi="Symbol"/>
    </w:rPr>
  </w:style>
  <w:style w:type="character" w:customStyle="1" w:styleId="MenuOptions">
    <w:name w:val="Menu Options"/>
    <w:basedOn w:val="DefaultParagraphFont"/>
    <w:rsid w:val="00090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A13"/>
    <w:rPr>
      <w:b/>
    </w:rPr>
  </w:style>
  <w:style w:type="character" w:customStyle="1" w:styleId="Underlined">
    <w:name w:val="Underlined"/>
    <w:basedOn w:val="DefaultParagraphFont"/>
    <w:rsid w:val="00090A13"/>
    <w:rPr>
      <w:u w:val="single"/>
    </w:rPr>
  </w:style>
  <w:style w:type="paragraph" w:customStyle="1" w:styleId="TableBodyTextRight">
    <w:name w:val="Table Body Text Right"/>
    <w:basedOn w:val="TableBodyText"/>
    <w:rsid w:val="00090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A13"/>
    <w:rPr>
      <w:sz w:val="18"/>
    </w:rPr>
  </w:style>
  <w:style w:type="paragraph" w:customStyle="1" w:styleId="BodySmallRight">
    <w:name w:val="Body Small Right"/>
    <w:basedOn w:val="BodyTextRight"/>
    <w:rsid w:val="00090A13"/>
    <w:rPr>
      <w:sz w:val="18"/>
      <w:szCs w:val="18"/>
    </w:rPr>
  </w:style>
  <w:style w:type="paragraph" w:customStyle="1" w:styleId="MarginEdition">
    <w:name w:val="Margin Edition"/>
    <w:basedOn w:val="MarginNote"/>
    <w:rsid w:val="00090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A13"/>
    <w:rPr>
      <w:sz w:val="2"/>
      <w:szCs w:val="2"/>
    </w:rPr>
  </w:style>
  <w:style w:type="character" w:customStyle="1" w:styleId="Small">
    <w:name w:val="Small"/>
    <w:basedOn w:val="DefaultParagraphFont"/>
    <w:rsid w:val="00090A13"/>
    <w:rPr>
      <w:sz w:val="16"/>
    </w:rPr>
  </w:style>
  <w:style w:type="paragraph" w:customStyle="1" w:styleId="WideTable">
    <w:name w:val="Wide Table"/>
    <w:basedOn w:val="Normal"/>
    <w:rsid w:val="00090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A13"/>
  </w:style>
  <w:style w:type="paragraph" w:styleId="Quote">
    <w:name w:val="Quote"/>
    <w:basedOn w:val="Heading1"/>
    <w:link w:val="QuoteChar"/>
    <w:qFormat/>
    <w:rsid w:val="00090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A13"/>
    <w:pPr>
      <w:pageBreakBefore/>
    </w:pPr>
  </w:style>
  <w:style w:type="paragraph" w:customStyle="1" w:styleId="Border">
    <w:name w:val="Border"/>
    <w:basedOn w:val="Normal"/>
    <w:qFormat/>
    <w:rsid w:val="00090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A13"/>
    <w:rPr>
      <w:u w:val="single"/>
    </w:rPr>
  </w:style>
  <w:style w:type="character" w:customStyle="1" w:styleId="BoldandItalics">
    <w:name w:val="Bold and Italics"/>
    <w:qFormat/>
    <w:rsid w:val="00090A13"/>
    <w:rPr>
      <w:b/>
      <w:i/>
      <w:u w:val="none"/>
    </w:rPr>
  </w:style>
  <w:style w:type="paragraph" w:styleId="BalloonText">
    <w:name w:val="Balloon Text"/>
    <w:basedOn w:val="Normal"/>
    <w:link w:val="BalloonTextChar"/>
    <w:rsid w:val="00090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A13"/>
    <w:pPr>
      <w:spacing w:before="0" w:after="0"/>
    </w:pPr>
  </w:style>
  <w:style w:type="paragraph" w:customStyle="1" w:styleId="BodyTextBold">
    <w:name w:val="Body Text Bold"/>
    <w:basedOn w:val="BodyText"/>
    <w:qFormat/>
    <w:rsid w:val="00090A13"/>
    <w:rPr>
      <w:b/>
    </w:rPr>
  </w:style>
  <w:style w:type="character" w:styleId="Hyperlink">
    <w:name w:val="Hyperlink"/>
    <w:basedOn w:val="DefaultParagraphFont"/>
    <w:uiPriority w:val="99"/>
    <w:unhideWhenUsed/>
    <w:rsid w:val="005B2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5511</Characters>
  <Application>Microsoft Office Word</Application>
  <DocSecurity>0</DocSecurity>
  <Lines>196</Lines>
  <Paragraphs>185</Paragraphs>
  <ScaleCrop>false</ScaleCrop>
  <Company>Author-it Software Corporation Ltd.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HLTMSG002 Assess client massage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